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FE" w:rsidRPr="00A74592" w:rsidRDefault="00D55AFE" w:rsidP="0010409A">
      <w:pPr>
        <w:spacing w:after="0" w:line="240" w:lineRule="auto"/>
        <w:jc w:val="center"/>
        <w:rPr>
          <w:rFonts w:asciiTheme="majorHAnsi" w:hAnsiTheme="majorHAnsi"/>
          <w:b/>
          <w:bCs/>
          <w:sz w:val="20"/>
        </w:rPr>
      </w:pPr>
    </w:p>
    <w:p w:rsidR="00CA5DD4" w:rsidRDefault="00CA5DD4" w:rsidP="0010409A">
      <w:pPr>
        <w:spacing w:after="0" w:line="240" w:lineRule="auto"/>
        <w:jc w:val="center"/>
        <w:rPr>
          <w:rFonts w:ascii="Bookman Old Style" w:hAnsi="Bookman Old Style"/>
          <w:b/>
          <w:bCs/>
          <w:color w:val="17365D" w:themeColor="text2" w:themeShade="BF"/>
          <w:sz w:val="28"/>
          <w:szCs w:val="28"/>
        </w:rPr>
      </w:pPr>
    </w:p>
    <w:p w:rsidR="002863EE" w:rsidRPr="00A4106E" w:rsidRDefault="0010409A" w:rsidP="0010409A">
      <w:pPr>
        <w:spacing w:after="0" w:line="240" w:lineRule="auto"/>
        <w:jc w:val="center"/>
        <w:rPr>
          <w:rFonts w:ascii="Bookman Old Style" w:hAnsi="Bookman Old Style"/>
          <w:b/>
          <w:bCs/>
          <w:color w:val="17365D" w:themeColor="text2" w:themeShade="BF"/>
          <w:sz w:val="28"/>
          <w:szCs w:val="28"/>
        </w:rPr>
      </w:pPr>
      <w:r w:rsidRPr="00A4106E">
        <w:rPr>
          <w:rFonts w:ascii="Bookman Old Style" w:hAnsi="Bookman Old Style"/>
          <w:b/>
          <w:bCs/>
          <w:color w:val="17365D" w:themeColor="text2" w:themeShade="BF"/>
          <w:sz w:val="28"/>
          <w:szCs w:val="28"/>
        </w:rPr>
        <w:t>Ministry of Arts and Cultural Heritage</w:t>
      </w:r>
    </w:p>
    <w:p w:rsidR="00384D26" w:rsidRPr="00A4106E" w:rsidRDefault="00384D26" w:rsidP="0010409A">
      <w:pPr>
        <w:spacing w:after="0" w:line="240" w:lineRule="auto"/>
        <w:jc w:val="center"/>
        <w:rPr>
          <w:rFonts w:ascii="Bookman Old Style" w:hAnsi="Bookman Old Style"/>
          <w:b/>
          <w:bCs/>
          <w:color w:val="17365D" w:themeColor="text2" w:themeShade="BF"/>
          <w:sz w:val="28"/>
          <w:szCs w:val="28"/>
        </w:rPr>
      </w:pPr>
    </w:p>
    <w:p w:rsidR="0010409A" w:rsidRPr="00A4106E" w:rsidRDefault="00151BC9" w:rsidP="0010409A">
      <w:pPr>
        <w:spacing w:after="0" w:line="240" w:lineRule="auto"/>
        <w:rPr>
          <w:rFonts w:ascii="Bookman Old Style" w:hAnsi="Bookman Old Style"/>
          <w:b/>
          <w:bCs/>
          <w:color w:val="17365D" w:themeColor="text2" w:themeShade="BF"/>
          <w:sz w:val="20"/>
        </w:rPr>
      </w:pPr>
      <w:bookmarkStart w:id="0" w:name="_GoBack"/>
      <w:r w:rsidRPr="00A4106E">
        <w:rPr>
          <w:rFonts w:ascii="Bookman Old Style" w:hAnsi="Bookman Old Style"/>
          <w:b/>
          <w:bCs/>
          <w:color w:val="17365D" w:themeColor="text2" w:themeShade="BF"/>
          <w:sz w:val="20"/>
        </w:rPr>
        <w:t xml:space="preserve">POST COVID-19 ACTION PLAN </w:t>
      </w:r>
      <w:r w:rsidR="00384D26" w:rsidRPr="00A4106E">
        <w:rPr>
          <w:rFonts w:ascii="Bookman Old Style" w:hAnsi="Bookman Old Style"/>
          <w:b/>
          <w:bCs/>
          <w:color w:val="17365D" w:themeColor="text2" w:themeShade="BF"/>
          <w:sz w:val="20"/>
        </w:rPr>
        <w:t>2020 FOR THE CREATIVE AND HERITAGE SECTOR</w:t>
      </w:r>
    </w:p>
    <w:bookmarkEnd w:id="0"/>
    <w:p w:rsidR="0010409A" w:rsidRPr="00A4106E" w:rsidRDefault="0010409A" w:rsidP="0010409A">
      <w:pPr>
        <w:spacing w:after="0" w:line="240" w:lineRule="auto"/>
        <w:jc w:val="center"/>
        <w:rPr>
          <w:rFonts w:ascii="Bookman Old Style" w:hAnsi="Bookman Old Style"/>
          <w:color w:val="17365D" w:themeColor="text2" w:themeShade="BF"/>
          <w:sz w:val="24"/>
          <w:szCs w:val="24"/>
          <w:u w:val="single"/>
        </w:rPr>
      </w:pPr>
      <w:r w:rsidRPr="00A4106E">
        <w:rPr>
          <w:rFonts w:ascii="Bookman Old Style" w:hAnsi="Bookman Old Style"/>
          <w:color w:val="17365D" w:themeColor="text2" w:themeShade="BF"/>
          <w:sz w:val="24"/>
          <w:szCs w:val="24"/>
          <w:u w:val="single"/>
        </w:rPr>
        <w:t>Request for Expression of Interest</w:t>
      </w:r>
    </w:p>
    <w:p w:rsidR="0010409A" w:rsidRPr="00A4106E" w:rsidRDefault="0010409A" w:rsidP="0010409A">
      <w:pPr>
        <w:spacing w:after="0" w:line="240" w:lineRule="auto"/>
        <w:jc w:val="center"/>
        <w:rPr>
          <w:rFonts w:ascii="Bookman Old Style" w:hAnsi="Bookman Old Style"/>
          <w:color w:val="17365D" w:themeColor="text2" w:themeShade="BF"/>
          <w:sz w:val="24"/>
          <w:szCs w:val="24"/>
          <w:u w:val="single"/>
        </w:rPr>
      </w:pPr>
      <w:r w:rsidRPr="00A4106E">
        <w:rPr>
          <w:rFonts w:ascii="Bookman Old Style" w:hAnsi="Bookman Old Style"/>
          <w:color w:val="17365D" w:themeColor="text2" w:themeShade="BF"/>
          <w:sz w:val="24"/>
          <w:szCs w:val="24"/>
          <w:u w:val="single"/>
        </w:rPr>
        <w:t>Staging of full-length plays</w:t>
      </w:r>
      <w:r w:rsidR="00DF0B1F" w:rsidRPr="00A4106E">
        <w:rPr>
          <w:rFonts w:ascii="Bookman Old Style" w:hAnsi="Bookman Old Style"/>
          <w:color w:val="17365D" w:themeColor="text2" w:themeShade="BF"/>
          <w:sz w:val="24"/>
          <w:szCs w:val="24"/>
          <w:u w:val="single"/>
        </w:rPr>
        <w:t xml:space="preserve"> </w:t>
      </w:r>
    </w:p>
    <w:p w:rsidR="0010409A" w:rsidRPr="00A4106E" w:rsidRDefault="0010409A" w:rsidP="0010409A">
      <w:pPr>
        <w:spacing w:after="0" w:line="240" w:lineRule="auto"/>
        <w:rPr>
          <w:rFonts w:ascii="Bookman Old Style" w:hAnsi="Bookman Old Style"/>
          <w:color w:val="17365D" w:themeColor="text2" w:themeShade="BF"/>
          <w:szCs w:val="22"/>
        </w:rPr>
      </w:pPr>
    </w:p>
    <w:p w:rsidR="0010409A" w:rsidRDefault="00D67D81" w:rsidP="005704B9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3"/>
          <w:szCs w:val="23"/>
        </w:rPr>
      </w:pP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In the </w:t>
      </w:r>
      <w:r w:rsidR="008D1C1F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context</w:t>
      </w: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of Post Confinement </w:t>
      </w:r>
      <w:r w:rsidR="008D1C1F" w:rsidRPr="00A4106E">
        <w:rPr>
          <w:rFonts w:ascii="Bookman Old Style" w:hAnsi="Bookman Old Style"/>
          <w:b/>
          <w:bCs/>
          <w:color w:val="17365D" w:themeColor="text2" w:themeShade="BF"/>
          <w:sz w:val="23"/>
          <w:szCs w:val="23"/>
        </w:rPr>
        <w:t>COVID-19</w:t>
      </w:r>
      <w:r w:rsidR="008D1C1F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</w:t>
      </w: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and with a view to support</w:t>
      </w:r>
      <w:r w:rsidR="00E63244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ing</w:t>
      </w:r>
      <w:r w:rsidR="00176856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P</w:t>
      </w: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erforming Artists</w:t>
      </w:r>
      <w:r w:rsidR="003351BA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and promoting theatre in Mauritius</w:t>
      </w: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, the</w:t>
      </w:r>
      <w:r w:rsidR="0010409A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Ministry of Arts and Cultural Heritage intends to video record full-length plays in English and French </w:t>
      </w:r>
      <w:r w:rsidR="00BC6B47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languages,</w:t>
      </w:r>
      <w:r w:rsidR="0010409A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appearing in the syllabus of </w:t>
      </w:r>
      <w:r w:rsidR="00D85D7B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‘</w:t>
      </w:r>
      <w:r w:rsidR="008D2E66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O</w:t>
      </w:r>
      <w:r w:rsidR="00D85D7B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’</w:t>
      </w:r>
      <w:r w:rsidR="0010409A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Level and </w:t>
      </w:r>
      <w:r w:rsidR="00D85D7B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‘</w:t>
      </w:r>
      <w:r w:rsidR="008D2E66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A</w:t>
      </w:r>
      <w:r w:rsidR="00D85D7B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’</w:t>
      </w:r>
      <w:r w:rsidR="0010409A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Level of the Cambridge examinations year 2020</w:t>
      </w:r>
      <w:r w:rsidR="000A127A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, as per list below</w:t>
      </w:r>
      <w:r w:rsidR="0010409A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.  </w:t>
      </w:r>
    </w:p>
    <w:p w:rsidR="00492F7C" w:rsidRPr="00A4106E" w:rsidRDefault="00492F7C" w:rsidP="00492F7C">
      <w:pPr>
        <w:spacing w:after="0" w:line="240" w:lineRule="auto"/>
        <w:jc w:val="center"/>
        <w:rPr>
          <w:rFonts w:ascii="Bookman Old Style" w:hAnsi="Bookman Old Style"/>
          <w:b/>
          <w:bCs/>
          <w:color w:val="17365D" w:themeColor="text2" w:themeShade="BF"/>
          <w:sz w:val="23"/>
          <w:szCs w:val="23"/>
          <w:u w:val="single"/>
        </w:rPr>
      </w:pPr>
      <w:r w:rsidRPr="00A4106E">
        <w:rPr>
          <w:rFonts w:ascii="Bookman Old Style" w:hAnsi="Bookman Old Style"/>
          <w:b/>
          <w:bCs/>
          <w:color w:val="17365D" w:themeColor="text2" w:themeShade="BF"/>
          <w:sz w:val="23"/>
          <w:szCs w:val="23"/>
          <w:u w:val="single"/>
        </w:rPr>
        <w:t xml:space="preserve">List </w:t>
      </w:r>
      <w:r w:rsidRPr="00A4106E">
        <w:rPr>
          <w:rFonts w:asciiTheme="majorHAnsi" w:hAnsiTheme="majorHAnsi"/>
          <w:b/>
          <w:bCs/>
          <w:color w:val="17365D" w:themeColor="text2" w:themeShade="BF"/>
          <w:sz w:val="20"/>
        </w:rPr>
        <w:br w:type="textWrapping" w:clear="all"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58"/>
        <w:gridCol w:w="2472"/>
        <w:gridCol w:w="450"/>
        <w:gridCol w:w="2602"/>
        <w:gridCol w:w="1676"/>
      </w:tblGrid>
      <w:tr w:rsidR="00492F7C" w:rsidRPr="00A4106E" w:rsidTr="00FF0B13">
        <w:tc>
          <w:tcPr>
            <w:tcW w:w="4830" w:type="dxa"/>
            <w:gridSpan w:val="2"/>
          </w:tcPr>
          <w:p w:rsidR="00492F7C" w:rsidRPr="00A4106E" w:rsidRDefault="00492F7C" w:rsidP="00FF0B13">
            <w:pPr>
              <w:jc w:val="center"/>
              <w:rPr>
                <w:rFonts w:ascii="Bookman Old Style" w:hAnsi="Bookman Old Style"/>
                <w:b/>
                <w:bCs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b/>
                <w:bCs/>
                <w:color w:val="17365D" w:themeColor="text2" w:themeShade="BF"/>
                <w:sz w:val="21"/>
                <w:szCs w:val="21"/>
              </w:rPr>
              <w:t>O Level English</w:t>
            </w:r>
          </w:p>
        </w:tc>
        <w:tc>
          <w:tcPr>
            <w:tcW w:w="450" w:type="dxa"/>
            <w:vMerge w:val="restart"/>
          </w:tcPr>
          <w:p w:rsidR="00492F7C" w:rsidRPr="00A4106E" w:rsidRDefault="00492F7C" w:rsidP="00FF0B13">
            <w:pPr>
              <w:rPr>
                <w:color w:val="17365D" w:themeColor="text2" w:themeShade="BF"/>
              </w:rPr>
            </w:pPr>
          </w:p>
        </w:tc>
        <w:tc>
          <w:tcPr>
            <w:tcW w:w="4278" w:type="dxa"/>
            <w:gridSpan w:val="2"/>
          </w:tcPr>
          <w:p w:rsidR="00492F7C" w:rsidRPr="00A4106E" w:rsidRDefault="00492F7C" w:rsidP="00FF0B13">
            <w:pPr>
              <w:jc w:val="center"/>
              <w:rPr>
                <w:color w:val="17365D" w:themeColor="text2" w:themeShade="BF"/>
              </w:rPr>
            </w:pPr>
            <w:r w:rsidRPr="00A4106E">
              <w:rPr>
                <w:rFonts w:ascii="Bookman Old Style" w:hAnsi="Bookman Old Style"/>
                <w:b/>
                <w:bCs/>
                <w:color w:val="17365D" w:themeColor="text2" w:themeShade="BF"/>
                <w:sz w:val="21"/>
                <w:szCs w:val="21"/>
              </w:rPr>
              <w:t>O Level French</w:t>
            </w:r>
          </w:p>
        </w:tc>
      </w:tr>
      <w:tr w:rsidR="00492F7C" w:rsidRPr="00A4106E" w:rsidTr="00FF0B13">
        <w:tc>
          <w:tcPr>
            <w:tcW w:w="2358" w:type="dxa"/>
            <w:vMerge w:val="restart"/>
          </w:tcPr>
          <w:p w:rsidR="00492F7C" w:rsidRPr="00A4106E" w:rsidRDefault="00492F7C" w:rsidP="00FF0B13">
            <w:pPr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  <w:t>Macbeth</w:t>
            </w:r>
          </w:p>
        </w:tc>
        <w:tc>
          <w:tcPr>
            <w:tcW w:w="2472" w:type="dxa"/>
            <w:vMerge w:val="restart"/>
          </w:tcPr>
          <w:p w:rsidR="00492F7C" w:rsidRPr="00A4106E" w:rsidRDefault="00492F7C" w:rsidP="00FF0B13">
            <w:pPr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  <w:t>William Shakespeare</w:t>
            </w:r>
          </w:p>
        </w:tc>
        <w:tc>
          <w:tcPr>
            <w:tcW w:w="450" w:type="dxa"/>
            <w:vMerge/>
          </w:tcPr>
          <w:p w:rsidR="00492F7C" w:rsidRPr="00A4106E" w:rsidRDefault="00492F7C" w:rsidP="00FF0B13">
            <w:pPr>
              <w:rPr>
                <w:color w:val="17365D" w:themeColor="text2" w:themeShade="BF"/>
              </w:rPr>
            </w:pPr>
          </w:p>
        </w:tc>
        <w:tc>
          <w:tcPr>
            <w:tcW w:w="4278" w:type="dxa"/>
            <w:gridSpan w:val="2"/>
          </w:tcPr>
          <w:p w:rsidR="00492F7C" w:rsidRPr="00A4106E" w:rsidRDefault="00492F7C" w:rsidP="00FF0B13">
            <w:pPr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b/>
                <w:bCs/>
                <w:color w:val="17365D" w:themeColor="text2" w:themeShade="BF"/>
                <w:sz w:val="21"/>
                <w:szCs w:val="21"/>
              </w:rPr>
              <w:t>Section A</w:t>
            </w:r>
            <w:r w:rsidRPr="00A4106E">
              <w:rPr>
                <w:rFonts w:ascii="Bookman Old Style" w:hAnsi="Bookman Old Style"/>
                <w:b/>
                <w:bCs/>
                <w:color w:val="17365D" w:themeColor="text2" w:themeShade="BF"/>
                <w:sz w:val="21"/>
                <w:szCs w:val="21"/>
              </w:rPr>
              <w:tab/>
            </w:r>
          </w:p>
        </w:tc>
      </w:tr>
      <w:tr w:rsidR="00492F7C" w:rsidRPr="00A4106E" w:rsidTr="00FF0B13">
        <w:trPr>
          <w:trHeight w:val="170"/>
        </w:trPr>
        <w:tc>
          <w:tcPr>
            <w:tcW w:w="2358" w:type="dxa"/>
            <w:vMerge/>
          </w:tcPr>
          <w:p w:rsidR="00492F7C" w:rsidRPr="00A4106E" w:rsidRDefault="00492F7C" w:rsidP="00FF0B13">
            <w:pPr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2472" w:type="dxa"/>
            <w:vMerge/>
          </w:tcPr>
          <w:p w:rsidR="00492F7C" w:rsidRPr="00A4106E" w:rsidRDefault="00492F7C" w:rsidP="00FF0B13">
            <w:pPr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450" w:type="dxa"/>
            <w:vMerge/>
          </w:tcPr>
          <w:p w:rsidR="00492F7C" w:rsidRPr="00A4106E" w:rsidRDefault="00492F7C" w:rsidP="00FF0B13">
            <w:pPr>
              <w:rPr>
                <w:color w:val="17365D" w:themeColor="text2" w:themeShade="BF"/>
              </w:rPr>
            </w:pPr>
          </w:p>
        </w:tc>
        <w:tc>
          <w:tcPr>
            <w:tcW w:w="2602" w:type="dxa"/>
          </w:tcPr>
          <w:p w:rsidR="00492F7C" w:rsidRPr="00A4106E" w:rsidRDefault="00492F7C" w:rsidP="00FF0B13">
            <w:pPr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  <w:t>L’Avare</w:t>
            </w:r>
          </w:p>
        </w:tc>
        <w:tc>
          <w:tcPr>
            <w:tcW w:w="1676" w:type="dxa"/>
          </w:tcPr>
          <w:p w:rsidR="00492F7C" w:rsidRPr="00A4106E" w:rsidRDefault="00492F7C" w:rsidP="00FF0B13">
            <w:pPr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  <w:t>Molière</w:t>
            </w:r>
          </w:p>
        </w:tc>
      </w:tr>
      <w:tr w:rsidR="00492F7C" w:rsidRPr="00A4106E" w:rsidTr="00FF0B13">
        <w:tc>
          <w:tcPr>
            <w:tcW w:w="4830" w:type="dxa"/>
            <w:gridSpan w:val="2"/>
          </w:tcPr>
          <w:p w:rsidR="00492F7C" w:rsidRPr="00A4106E" w:rsidRDefault="00492F7C" w:rsidP="00FF0B13">
            <w:pPr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b/>
                <w:bCs/>
                <w:color w:val="17365D" w:themeColor="text2" w:themeShade="BF"/>
                <w:sz w:val="21"/>
                <w:szCs w:val="21"/>
              </w:rPr>
              <w:t>A Level English</w:t>
            </w:r>
          </w:p>
        </w:tc>
        <w:tc>
          <w:tcPr>
            <w:tcW w:w="450" w:type="dxa"/>
            <w:vMerge/>
          </w:tcPr>
          <w:p w:rsidR="00492F7C" w:rsidRPr="00A4106E" w:rsidRDefault="00492F7C" w:rsidP="00FF0B13">
            <w:pPr>
              <w:rPr>
                <w:color w:val="17365D" w:themeColor="text2" w:themeShade="BF"/>
              </w:rPr>
            </w:pPr>
          </w:p>
        </w:tc>
        <w:tc>
          <w:tcPr>
            <w:tcW w:w="4278" w:type="dxa"/>
            <w:gridSpan w:val="2"/>
          </w:tcPr>
          <w:p w:rsidR="00492F7C" w:rsidRPr="00A4106E" w:rsidRDefault="00492F7C" w:rsidP="00FF0B13">
            <w:pPr>
              <w:jc w:val="center"/>
              <w:rPr>
                <w:color w:val="17365D" w:themeColor="text2" w:themeShade="BF"/>
              </w:rPr>
            </w:pPr>
            <w:r w:rsidRPr="00A4106E">
              <w:rPr>
                <w:rFonts w:ascii="Bookman Old Style" w:hAnsi="Bookman Old Style"/>
                <w:b/>
                <w:bCs/>
                <w:color w:val="17365D" w:themeColor="text2" w:themeShade="BF"/>
                <w:sz w:val="21"/>
                <w:szCs w:val="21"/>
              </w:rPr>
              <w:t>A Level French</w:t>
            </w:r>
          </w:p>
        </w:tc>
      </w:tr>
      <w:tr w:rsidR="00492F7C" w:rsidRPr="00A4106E" w:rsidTr="00FF0B13">
        <w:tc>
          <w:tcPr>
            <w:tcW w:w="2358" w:type="dxa"/>
            <w:vMerge w:val="restart"/>
          </w:tcPr>
          <w:p w:rsidR="00492F7C" w:rsidRPr="00A4106E" w:rsidRDefault="00492F7C" w:rsidP="00FF0B13">
            <w:pPr>
              <w:rPr>
                <w:rFonts w:ascii="Bookman Old Style" w:hAnsi="Bookman Old Style"/>
                <w:b/>
                <w:bCs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  <w:t>Much Ado About Nothing</w:t>
            </w:r>
          </w:p>
        </w:tc>
        <w:tc>
          <w:tcPr>
            <w:tcW w:w="2472" w:type="dxa"/>
            <w:vMerge w:val="restart"/>
          </w:tcPr>
          <w:p w:rsidR="00492F7C" w:rsidRPr="00A4106E" w:rsidRDefault="00492F7C" w:rsidP="00FF0B13">
            <w:pPr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  <w:t>William Shakespeare</w:t>
            </w:r>
          </w:p>
        </w:tc>
        <w:tc>
          <w:tcPr>
            <w:tcW w:w="450" w:type="dxa"/>
            <w:vMerge/>
          </w:tcPr>
          <w:p w:rsidR="00492F7C" w:rsidRPr="00A4106E" w:rsidRDefault="00492F7C" w:rsidP="00FF0B13">
            <w:pPr>
              <w:rPr>
                <w:color w:val="17365D" w:themeColor="text2" w:themeShade="BF"/>
              </w:rPr>
            </w:pPr>
          </w:p>
        </w:tc>
        <w:tc>
          <w:tcPr>
            <w:tcW w:w="4278" w:type="dxa"/>
            <w:gridSpan w:val="2"/>
          </w:tcPr>
          <w:p w:rsidR="00492F7C" w:rsidRPr="00A4106E" w:rsidRDefault="00492F7C" w:rsidP="00FF0B13">
            <w:pPr>
              <w:jc w:val="both"/>
              <w:rPr>
                <w:rFonts w:ascii="Bookman Old Style" w:hAnsi="Bookman Old Style"/>
                <w:b/>
                <w:bCs/>
                <w:i/>
                <w:iCs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b/>
                <w:bCs/>
                <w:color w:val="17365D" w:themeColor="text2" w:themeShade="BF"/>
                <w:sz w:val="21"/>
                <w:szCs w:val="21"/>
              </w:rPr>
              <w:t>Section 1</w:t>
            </w:r>
          </w:p>
        </w:tc>
      </w:tr>
      <w:tr w:rsidR="00492F7C" w:rsidRPr="00A4106E" w:rsidTr="00FF0B13">
        <w:trPr>
          <w:trHeight w:val="247"/>
        </w:trPr>
        <w:tc>
          <w:tcPr>
            <w:tcW w:w="2358" w:type="dxa"/>
            <w:vMerge/>
          </w:tcPr>
          <w:p w:rsidR="00492F7C" w:rsidRPr="00A4106E" w:rsidRDefault="00492F7C" w:rsidP="00FF0B13">
            <w:pPr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2472" w:type="dxa"/>
            <w:vMerge/>
          </w:tcPr>
          <w:p w:rsidR="00492F7C" w:rsidRPr="00A4106E" w:rsidRDefault="00492F7C" w:rsidP="00FF0B13">
            <w:pPr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450" w:type="dxa"/>
            <w:vMerge/>
          </w:tcPr>
          <w:p w:rsidR="00492F7C" w:rsidRPr="00A4106E" w:rsidRDefault="00492F7C" w:rsidP="00FF0B13">
            <w:pPr>
              <w:rPr>
                <w:color w:val="17365D" w:themeColor="text2" w:themeShade="BF"/>
              </w:rPr>
            </w:pPr>
          </w:p>
        </w:tc>
        <w:tc>
          <w:tcPr>
            <w:tcW w:w="2602" w:type="dxa"/>
            <w:vMerge w:val="restart"/>
          </w:tcPr>
          <w:p w:rsidR="00492F7C" w:rsidRPr="00A4106E" w:rsidRDefault="00492F7C" w:rsidP="00FF0B13">
            <w:pPr>
              <w:jc w:val="both"/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  <w:t>Le Barbier de S</w:t>
            </w:r>
            <w:r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  <w:t>é</w:t>
            </w:r>
            <w:r w:rsidRPr="00A4106E"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  <w:t>ville</w:t>
            </w:r>
          </w:p>
        </w:tc>
        <w:tc>
          <w:tcPr>
            <w:tcW w:w="1676" w:type="dxa"/>
            <w:vMerge w:val="restart"/>
          </w:tcPr>
          <w:p w:rsidR="00492F7C" w:rsidRPr="00A4106E" w:rsidRDefault="00492F7C" w:rsidP="00FF0B13">
            <w:pPr>
              <w:jc w:val="both"/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  <w:t>Beaumarchais</w:t>
            </w:r>
          </w:p>
          <w:p w:rsidR="00492F7C" w:rsidRPr="00A4106E" w:rsidRDefault="00492F7C" w:rsidP="00FF0B13">
            <w:pPr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</w:pPr>
          </w:p>
          <w:p w:rsidR="00492F7C" w:rsidRPr="00A4106E" w:rsidRDefault="00492F7C" w:rsidP="00FF0B13">
            <w:pPr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</w:pPr>
          </w:p>
        </w:tc>
      </w:tr>
      <w:tr w:rsidR="00492F7C" w:rsidRPr="00A4106E" w:rsidTr="00FF0B13">
        <w:tc>
          <w:tcPr>
            <w:tcW w:w="2358" w:type="dxa"/>
          </w:tcPr>
          <w:p w:rsidR="00492F7C" w:rsidRPr="00A4106E" w:rsidRDefault="00492F7C" w:rsidP="00FF0B13">
            <w:pPr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  <w:t>Death and the King’s Horseman</w:t>
            </w:r>
          </w:p>
        </w:tc>
        <w:tc>
          <w:tcPr>
            <w:tcW w:w="2472" w:type="dxa"/>
          </w:tcPr>
          <w:p w:rsidR="00492F7C" w:rsidRPr="00A4106E" w:rsidRDefault="00492F7C" w:rsidP="00FF0B13">
            <w:pPr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</w:pPr>
            <w:r w:rsidRPr="00A4106E"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  <w:t>Wole Soyinka</w:t>
            </w:r>
          </w:p>
        </w:tc>
        <w:tc>
          <w:tcPr>
            <w:tcW w:w="450" w:type="dxa"/>
            <w:vMerge/>
          </w:tcPr>
          <w:p w:rsidR="00492F7C" w:rsidRPr="00A4106E" w:rsidRDefault="00492F7C" w:rsidP="00FF0B13">
            <w:pPr>
              <w:rPr>
                <w:color w:val="17365D" w:themeColor="text2" w:themeShade="BF"/>
              </w:rPr>
            </w:pPr>
          </w:p>
        </w:tc>
        <w:tc>
          <w:tcPr>
            <w:tcW w:w="2602" w:type="dxa"/>
            <w:vMerge/>
          </w:tcPr>
          <w:p w:rsidR="00492F7C" w:rsidRPr="00A4106E" w:rsidRDefault="00492F7C" w:rsidP="00FF0B13">
            <w:pPr>
              <w:jc w:val="both"/>
              <w:rPr>
                <w:rFonts w:ascii="Bookman Old Style" w:hAnsi="Bookman Old Style"/>
                <w:color w:val="17365D" w:themeColor="text2" w:themeShade="BF"/>
                <w:sz w:val="21"/>
                <w:szCs w:val="21"/>
              </w:rPr>
            </w:pPr>
          </w:p>
        </w:tc>
        <w:tc>
          <w:tcPr>
            <w:tcW w:w="1676" w:type="dxa"/>
            <w:vMerge/>
          </w:tcPr>
          <w:p w:rsidR="00492F7C" w:rsidRPr="00A4106E" w:rsidRDefault="00492F7C" w:rsidP="00FF0B13">
            <w:pPr>
              <w:jc w:val="both"/>
              <w:rPr>
                <w:rFonts w:ascii="Bookman Old Style" w:hAnsi="Bookman Old Style"/>
                <w:i/>
                <w:iCs/>
                <w:color w:val="17365D" w:themeColor="text2" w:themeShade="BF"/>
                <w:sz w:val="21"/>
                <w:szCs w:val="21"/>
              </w:rPr>
            </w:pPr>
          </w:p>
        </w:tc>
      </w:tr>
    </w:tbl>
    <w:p w:rsidR="00492F7C" w:rsidRPr="00A4106E" w:rsidRDefault="00492F7C" w:rsidP="00492F7C">
      <w:pPr>
        <w:spacing w:after="0" w:line="240" w:lineRule="auto"/>
        <w:jc w:val="right"/>
        <w:rPr>
          <w:rFonts w:asciiTheme="majorHAnsi" w:hAnsiTheme="majorHAnsi"/>
          <w:b/>
          <w:bCs/>
          <w:color w:val="17365D" w:themeColor="text2" w:themeShade="BF"/>
          <w:sz w:val="20"/>
        </w:rPr>
      </w:pPr>
    </w:p>
    <w:p w:rsidR="0010409A" w:rsidRPr="00A4106E" w:rsidRDefault="0010409A" w:rsidP="005704B9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Cs w:val="22"/>
        </w:rPr>
      </w:pPr>
    </w:p>
    <w:p w:rsidR="0010409A" w:rsidRPr="00A4106E" w:rsidRDefault="0010409A" w:rsidP="005704B9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3"/>
          <w:szCs w:val="23"/>
        </w:rPr>
      </w:pP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Th</w:t>
      </w:r>
      <w:r w:rsidR="00DF0B1F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is Ministry will cater for the</w:t>
      </w: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</w:t>
      </w:r>
      <w:r w:rsidR="00DF0B1F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cost of </w:t>
      </w: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video recording</w:t>
      </w:r>
      <w:r w:rsidR="00DF0B1F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. T</w:t>
      </w:r>
      <w:r w:rsidR="00D67D81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he recorded version of the plays will remain the property of the Ministry of Arts and Cultural Heritage</w:t>
      </w:r>
      <w:r w:rsidR="00DF0B1F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.  It will be</w:t>
      </w:r>
      <w:r w:rsidR="00715B65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used</w:t>
      </w:r>
      <w:r w:rsidR="00D67D81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for the promotion of Dramatic Arts in Mauritius and abroad.  </w:t>
      </w:r>
    </w:p>
    <w:p w:rsidR="0010409A" w:rsidRPr="00A4106E" w:rsidRDefault="0010409A" w:rsidP="005704B9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Cs w:val="22"/>
        </w:rPr>
      </w:pPr>
    </w:p>
    <w:p w:rsidR="00954BBC" w:rsidRPr="00A4106E" w:rsidRDefault="0010409A" w:rsidP="005704B9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3"/>
          <w:szCs w:val="23"/>
        </w:rPr>
      </w:pP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Local Theatre troupes/ companies or individuals interested to put up one of the </w:t>
      </w:r>
      <w:r w:rsidR="00492F7C">
        <w:rPr>
          <w:rFonts w:ascii="Bookman Old Style" w:hAnsi="Bookman Old Style"/>
          <w:color w:val="17365D" w:themeColor="text2" w:themeShade="BF"/>
          <w:sz w:val="23"/>
          <w:szCs w:val="23"/>
        </w:rPr>
        <w:t>above-</w:t>
      </w:r>
      <w:r w:rsidR="00566A27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mentioned</w:t>
      </w: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full-length plays are invited to submit their proposals on the prescribed form with relevant details in a sealed </w:t>
      </w:r>
      <w:r w:rsidR="00566A27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envelope</w:t>
      </w: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clearly </w:t>
      </w:r>
      <w:r w:rsidR="00BC6B47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marked: -</w:t>
      </w:r>
    </w:p>
    <w:p w:rsidR="0010409A" w:rsidRPr="00A4106E" w:rsidRDefault="00BC6B47" w:rsidP="005704B9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3"/>
          <w:szCs w:val="23"/>
        </w:rPr>
      </w:pPr>
      <w:r w:rsidRPr="00A4106E">
        <w:rPr>
          <w:rFonts w:ascii="Bookman Old Style" w:hAnsi="Bookman Old Style"/>
          <w:b/>
          <w:bCs/>
          <w:color w:val="17365D" w:themeColor="text2" w:themeShade="BF"/>
          <w:szCs w:val="22"/>
        </w:rPr>
        <w:t>‘Expression</w:t>
      </w:r>
      <w:r w:rsidR="00261AD9" w:rsidRPr="00A4106E">
        <w:rPr>
          <w:rFonts w:ascii="Bookman Old Style" w:hAnsi="Bookman Old Style"/>
          <w:b/>
          <w:bCs/>
          <w:color w:val="17365D" w:themeColor="text2" w:themeShade="BF"/>
          <w:szCs w:val="22"/>
        </w:rPr>
        <w:t xml:space="preserve"> of Interest </w:t>
      </w:r>
      <w:r w:rsidR="00D85D7B" w:rsidRPr="00A4106E">
        <w:rPr>
          <w:rFonts w:ascii="Bookman Old Style" w:hAnsi="Bookman Old Style"/>
          <w:b/>
          <w:bCs/>
          <w:color w:val="17365D" w:themeColor="text2" w:themeShade="BF"/>
          <w:szCs w:val="22"/>
        </w:rPr>
        <w:t xml:space="preserve">- </w:t>
      </w:r>
      <w:r w:rsidR="00261AD9" w:rsidRPr="00A4106E">
        <w:rPr>
          <w:rFonts w:ascii="Bookman Old Style" w:hAnsi="Bookman Old Style"/>
          <w:b/>
          <w:bCs/>
          <w:color w:val="17365D" w:themeColor="text2" w:themeShade="BF"/>
          <w:szCs w:val="22"/>
        </w:rPr>
        <w:t>staging of full-length stage plays</w:t>
      </w:r>
      <w:r w:rsidR="00D85D7B" w:rsidRPr="00A4106E">
        <w:rPr>
          <w:rFonts w:ascii="Bookman Old Style" w:hAnsi="Bookman Old Style"/>
          <w:b/>
          <w:bCs/>
          <w:color w:val="17365D" w:themeColor="text2" w:themeShade="BF"/>
          <w:szCs w:val="22"/>
        </w:rPr>
        <w:t>’</w:t>
      </w:r>
      <w:r w:rsidR="00261AD9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</w:t>
      </w:r>
      <w:r w:rsidR="00F3778D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in the Quotation Tender Box located </w:t>
      </w:r>
      <w:r w:rsidR="00EE4A7C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at the address mentioned below </w:t>
      </w:r>
      <w:r w:rsidR="00566A27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not later than </w:t>
      </w:r>
      <w:r w:rsidR="0082372C">
        <w:rPr>
          <w:rFonts w:ascii="Bookman Old Style" w:hAnsi="Bookman Old Style"/>
          <w:color w:val="17365D" w:themeColor="text2" w:themeShade="BF"/>
          <w:sz w:val="23"/>
          <w:szCs w:val="23"/>
        </w:rPr>
        <w:t>Fri</w:t>
      </w:r>
      <w:r w:rsidR="00053193" w:rsidRPr="00053193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day </w:t>
      </w:r>
      <w:r w:rsidR="00176856">
        <w:rPr>
          <w:rFonts w:ascii="Bookman Old Style" w:hAnsi="Bookman Old Style"/>
          <w:color w:val="17365D" w:themeColor="text2" w:themeShade="BF"/>
          <w:sz w:val="23"/>
          <w:szCs w:val="23"/>
        </w:rPr>
        <w:t>31</w:t>
      </w:r>
      <w:r w:rsidR="00053193" w:rsidRPr="00053193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July</w:t>
      </w:r>
      <w:r w:rsidR="00566A27" w:rsidRPr="00053193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2020</w:t>
      </w:r>
      <w:r w:rsidR="00DF0B1F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by 15.00 hours</w:t>
      </w:r>
      <w:r w:rsidR="00566A27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. </w:t>
      </w:r>
      <w:r w:rsidR="00EE062F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The Ministry proposes to f</w:t>
      </w:r>
      <w:r w:rsidR="00DF0B1F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und</w:t>
      </w:r>
      <w:r w:rsidR="006B301A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</w:t>
      </w:r>
      <w:r w:rsidR="00DF0B1F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the </w:t>
      </w:r>
      <w:r w:rsidR="00CA5DD4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selected </w:t>
      </w:r>
      <w:r w:rsidR="00DF0B1F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production</w:t>
      </w:r>
      <w:r w:rsidR="006B301A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to the tune of Rs 200,000</w:t>
      </w:r>
      <w:r w:rsidR="00492F7C">
        <w:rPr>
          <w:rFonts w:ascii="Bookman Old Style" w:hAnsi="Bookman Old Style"/>
          <w:color w:val="17365D" w:themeColor="text2" w:themeShade="BF"/>
          <w:sz w:val="23"/>
          <w:szCs w:val="23"/>
        </w:rPr>
        <w:t>.</w:t>
      </w:r>
      <w:r w:rsidR="00D85D7B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</w:t>
      </w:r>
      <w:r w:rsidR="00A74592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The </w:t>
      </w:r>
      <w:r w:rsidR="00CA5DD4">
        <w:rPr>
          <w:rFonts w:ascii="Bookman Old Style" w:hAnsi="Bookman Old Style"/>
          <w:color w:val="17365D" w:themeColor="text2" w:themeShade="BF"/>
          <w:sz w:val="23"/>
          <w:szCs w:val="23"/>
        </w:rPr>
        <w:t>p</w:t>
      </w:r>
      <w:r w:rsidR="00A74592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roduct</w:t>
      </w:r>
      <w:r w:rsidR="00CA5DD4">
        <w:rPr>
          <w:rFonts w:ascii="Bookman Old Style" w:hAnsi="Bookman Old Style"/>
          <w:color w:val="17365D" w:themeColor="text2" w:themeShade="BF"/>
          <w:sz w:val="23"/>
          <w:szCs w:val="23"/>
        </w:rPr>
        <w:t>ion</w:t>
      </w:r>
      <w:r w:rsidR="00A74592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will be staged and </w:t>
      </w:r>
      <w:r w:rsidR="005816DF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video </w:t>
      </w:r>
      <w:r w:rsidR="00A74592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recorded at Serge Con</w:t>
      </w:r>
      <w:r w:rsidR="001C020B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s</w:t>
      </w:r>
      <w:r w:rsidR="00A74592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tantin Theatre, Vacoas on </w:t>
      </w:r>
      <w:r w:rsidR="00176856">
        <w:rPr>
          <w:rFonts w:ascii="Bookman Old Style" w:hAnsi="Bookman Old Style"/>
          <w:color w:val="17365D" w:themeColor="text2" w:themeShade="BF"/>
          <w:sz w:val="23"/>
          <w:szCs w:val="23"/>
        </w:rPr>
        <w:t>Fri</w:t>
      </w:r>
      <w:r w:rsidR="00053193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day </w:t>
      </w:r>
      <w:r w:rsidR="00176856">
        <w:rPr>
          <w:rFonts w:ascii="Bookman Old Style" w:hAnsi="Bookman Old Style"/>
          <w:color w:val="17365D" w:themeColor="text2" w:themeShade="BF"/>
          <w:sz w:val="23"/>
          <w:szCs w:val="23"/>
        </w:rPr>
        <w:t>3</w:t>
      </w:r>
      <w:r w:rsidR="00F0458D">
        <w:rPr>
          <w:rFonts w:ascii="Bookman Old Style" w:hAnsi="Bookman Old Style"/>
          <w:color w:val="17365D" w:themeColor="text2" w:themeShade="BF"/>
          <w:sz w:val="23"/>
          <w:szCs w:val="23"/>
        </w:rPr>
        <w:t>0</w:t>
      </w:r>
      <w:r w:rsidR="00053193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October</w:t>
      </w:r>
      <w:r w:rsidR="00A74592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2020</w:t>
      </w:r>
      <w:r w:rsidR="00053193">
        <w:rPr>
          <w:rFonts w:ascii="Bookman Old Style" w:hAnsi="Bookman Old Style"/>
          <w:color w:val="17365D" w:themeColor="text2" w:themeShade="BF"/>
          <w:sz w:val="23"/>
          <w:szCs w:val="23"/>
        </w:rPr>
        <w:t>.</w:t>
      </w:r>
    </w:p>
    <w:p w:rsidR="00492F7C" w:rsidRDefault="00566A27" w:rsidP="00492F7C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The prescribed form is available at the </w:t>
      </w:r>
      <w:r w:rsidR="00BC6B47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Help Desk</w:t>
      </w:r>
      <w:r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</w:t>
      </w:r>
      <w:r w:rsidR="00266BD1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of the Ministry at 1</w:t>
      </w:r>
      <w:r w:rsidR="00266BD1" w:rsidRPr="00A4106E">
        <w:rPr>
          <w:rFonts w:ascii="Bookman Old Style" w:hAnsi="Bookman Old Style"/>
          <w:color w:val="17365D" w:themeColor="text2" w:themeShade="BF"/>
          <w:sz w:val="23"/>
          <w:szCs w:val="23"/>
          <w:vertAlign w:val="superscript"/>
        </w:rPr>
        <w:t>st</w:t>
      </w:r>
      <w:r w:rsidR="00266BD1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</w:t>
      </w:r>
      <w:r w:rsidR="00954BBC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Floor, Renganaden Seeneevassen </w:t>
      </w:r>
      <w:r w:rsidR="00176856">
        <w:rPr>
          <w:rFonts w:ascii="Bookman Old Style" w:hAnsi="Bookman Old Style"/>
          <w:color w:val="17365D" w:themeColor="text2" w:themeShade="BF"/>
          <w:sz w:val="23"/>
          <w:szCs w:val="23"/>
        </w:rPr>
        <w:t>B</w:t>
      </w:r>
      <w:r w:rsidR="00954BBC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uilding, Port Louis</w:t>
      </w:r>
      <w:r w:rsidR="00342609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and Serge Constantin Theatre, Vacoas and </w:t>
      </w:r>
      <w:r w:rsidR="00F265D5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on the </w:t>
      </w:r>
      <w:r w:rsidR="00342609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website </w:t>
      </w:r>
      <w:r w:rsidR="00BC6B47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>http:</w:t>
      </w:r>
      <w:r w:rsidR="00DC08C3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//</w:t>
      </w:r>
      <w:r w:rsidR="002657E4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culture.govmu.org </w:t>
      </w:r>
      <w:r w:rsidR="00954BBC" w:rsidRPr="00A4106E">
        <w:rPr>
          <w:rFonts w:ascii="Bookman Old Style" w:hAnsi="Bookman Old Style"/>
          <w:color w:val="17365D" w:themeColor="text2" w:themeShade="BF"/>
          <w:sz w:val="23"/>
          <w:szCs w:val="23"/>
        </w:rPr>
        <w:t xml:space="preserve"> </w:t>
      </w:r>
      <w:r w:rsidR="00492F7C">
        <w:rPr>
          <w:rFonts w:ascii="Bookman Old Style" w:hAnsi="Bookman Old Style"/>
          <w:color w:val="17365D" w:themeColor="text2" w:themeShade="BF"/>
          <w:sz w:val="23"/>
          <w:szCs w:val="23"/>
        </w:rPr>
        <w:t>.</w:t>
      </w:r>
      <w:r w:rsidR="00492F7C" w:rsidRPr="00492F7C">
        <w:rPr>
          <w:rFonts w:ascii="Bookman Old Style" w:hAnsi="Bookman Old Style"/>
          <w:color w:val="17365D" w:themeColor="text2" w:themeShade="BF"/>
          <w:sz w:val="20"/>
        </w:rPr>
        <w:t xml:space="preserve"> </w:t>
      </w:r>
    </w:p>
    <w:p w:rsidR="00492F7C" w:rsidRPr="00A4106E" w:rsidRDefault="00492F7C" w:rsidP="00492F7C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0"/>
        </w:rPr>
      </w:pPr>
      <w:r>
        <w:rPr>
          <w:rFonts w:ascii="Bookman Old Style" w:hAnsi="Bookman Old Style"/>
          <w:color w:val="17365D" w:themeColor="text2" w:themeShade="BF"/>
          <w:sz w:val="20"/>
        </w:rPr>
        <w:t xml:space="preserve">For </w:t>
      </w:r>
      <w:r w:rsidR="00CA5DD4">
        <w:rPr>
          <w:rFonts w:ascii="Bookman Old Style" w:hAnsi="Bookman Old Style"/>
          <w:color w:val="17365D" w:themeColor="text2" w:themeShade="BF"/>
          <w:sz w:val="20"/>
        </w:rPr>
        <w:t xml:space="preserve">any </w:t>
      </w:r>
      <w:r>
        <w:rPr>
          <w:rFonts w:ascii="Bookman Old Style" w:hAnsi="Bookman Old Style"/>
          <w:color w:val="17365D" w:themeColor="text2" w:themeShade="BF"/>
          <w:sz w:val="20"/>
        </w:rPr>
        <w:t xml:space="preserve">further information, </w:t>
      </w:r>
      <w:r w:rsidR="00CA5DD4">
        <w:rPr>
          <w:rFonts w:ascii="Bookman Old Style" w:hAnsi="Bookman Old Style"/>
          <w:color w:val="17365D" w:themeColor="text2" w:themeShade="BF"/>
          <w:sz w:val="20"/>
        </w:rPr>
        <w:t>Kindly</w:t>
      </w:r>
      <w:r>
        <w:rPr>
          <w:rFonts w:ascii="Bookman Old Style" w:hAnsi="Bookman Old Style"/>
          <w:color w:val="17365D" w:themeColor="text2" w:themeShade="BF"/>
          <w:sz w:val="20"/>
        </w:rPr>
        <w:t xml:space="preserve"> call on </w:t>
      </w:r>
      <w:r w:rsidR="00CA5DD4">
        <w:rPr>
          <w:rFonts w:ascii="Bookman Old Style" w:hAnsi="Bookman Old Style"/>
          <w:color w:val="17365D" w:themeColor="text2" w:themeShade="BF"/>
          <w:sz w:val="20"/>
        </w:rPr>
        <w:t xml:space="preserve">Drama Unit on </w:t>
      </w:r>
      <w:r>
        <w:rPr>
          <w:rFonts w:ascii="Bookman Old Style" w:hAnsi="Bookman Old Style"/>
          <w:color w:val="17365D" w:themeColor="text2" w:themeShade="BF"/>
          <w:sz w:val="20"/>
        </w:rPr>
        <w:t>2113128</w:t>
      </w:r>
      <w:r w:rsidR="00CA5DD4">
        <w:rPr>
          <w:rFonts w:ascii="Bookman Old Style" w:hAnsi="Bookman Old Style"/>
          <w:color w:val="17365D" w:themeColor="text2" w:themeShade="BF"/>
          <w:sz w:val="20"/>
        </w:rPr>
        <w:t xml:space="preserve"> /2112991/2143656.</w:t>
      </w:r>
    </w:p>
    <w:p w:rsidR="00E63244" w:rsidRPr="00A4106E" w:rsidRDefault="00E63244" w:rsidP="005704B9">
      <w:pPr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3"/>
          <w:szCs w:val="23"/>
        </w:rPr>
      </w:pPr>
    </w:p>
    <w:p w:rsidR="00E63244" w:rsidRPr="00A4106E" w:rsidRDefault="00E63244" w:rsidP="0010409A">
      <w:pPr>
        <w:spacing w:after="0" w:line="240" w:lineRule="auto"/>
        <w:rPr>
          <w:rFonts w:ascii="Bookman Old Style" w:hAnsi="Bookman Old Style"/>
          <w:color w:val="17365D" w:themeColor="text2" w:themeShade="BF"/>
          <w:sz w:val="18"/>
          <w:szCs w:val="18"/>
        </w:rPr>
      </w:pPr>
    </w:p>
    <w:p w:rsidR="001C020B" w:rsidRPr="00A4106E" w:rsidRDefault="001C020B" w:rsidP="00A914B6">
      <w:pPr>
        <w:spacing w:after="0" w:line="240" w:lineRule="auto"/>
        <w:jc w:val="right"/>
        <w:rPr>
          <w:rFonts w:asciiTheme="majorHAnsi" w:hAnsiTheme="majorHAnsi"/>
          <w:b/>
          <w:bCs/>
          <w:color w:val="17365D" w:themeColor="text2" w:themeShade="BF"/>
          <w:sz w:val="20"/>
        </w:rPr>
      </w:pPr>
    </w:p>
    <w:p w:rsidR="001C020B" w:rsidRPr="00A4106E" w:rsidRDefault="001C020B" w:rsidP="00A914B6">
      <w:pPr>
        <w:spacing w:after="0" w:line="240" w:lineRule="auto"/>
        <w:jc w:val="right"/>
        <w:rPr>
          <w:rFonts w:asciiTheme="majorHAnsi" w:hAnsiTheme="majorHAnsi"/>
          <w:b/>
          <w:bCs/>
          <w:color w:val="17365D" w:themeColor="text2" w:themeShade="BF"/>
          <w:sz w:val="20"/>
        </w:rPr>
      </w:pPr>
    </w:p>
    <w:p w:rsidR="00954BBC" w:rsidRPr="00A4106E" w:rsidRDefault="00954BBC" w:rsidP="00A914B6">
      <w:pPr>
        <w:spacing w:after="0" w:line="240" w:lineRule="auto"/>
        <w:jc w:val="right"/>
        <w:rPr>
          <w:rFonts w:asciiTheme="majorHAnsi" w:hAnsiTheme="majorHAnsi"/>
          <w:b/>
          <w:bCs/>
          <w:color w:val="17365D" w:themeColor="text2" w:themeShade="BF"/>
          <w:sz w:val="20"/>
        </w:rPr>
      </w:pPr>
      <w:r w:rsidRPr="00A4106E">
        <w:rPr>
          <w:rFonts w:asciiTheme="majorHAnsi" w:hAnsiTheme="majorHAnsi"/>
          <w:b/>
          <w:bCs/>
          <w:color w:val="17365D" w:themeColor="text2" w:themeShade="BF"/>
          <w:sz w:val="20"/>
        </w:rPr>
        <w:t>Ministry of Arts and Cultural Heritage</w:t>
      </w:r>
    </w:p>
    <w:p w:rsidR="00954BBC" w:rsidRPr="00A4106E" w:rsidRDefault="00954BBC" w:rsidP="00A914B6">
      <w:pPr>
        <w:spacing w:after="0" w:line="240" w:lineRule="auto"/>
        <w:jc w:val="right"/>
        <w:rPr>
          <w:rFonts w:asciiTheme="majorHAnsi" w:hAnsiTheme="majorHAnsi"/>
          <w:b/>
          <w:bCs/>
          <w:color w:val="17365D" w:themeColor="text2" w:themeShade="BF"/>
          <w:sz w:val="20"/>
        </w:rPr>
      </w:pPr>
      <w:r w:rsidRPr="00A4106E">
        <w:rPr>
          <w:rFonts w:asciiTheme="majorHAnsi" w:hAnsiTheme="majorHAnsi"/>
          <w:b/>
          <w:bCs/>
          <w:color w:val="17365D" w:themeColor="text2" w:themeShade="BF"/>
          <w:sz w:val="20"/>
        </w:rPr>
        <w:tab/>
        <w:t>7</w:t>
      </w:r>
      <w:r w:rsidRPr="00A4106E">
        <w:rPr>
          <w:rFonts w:asciiTheme="majorHAnsi" w:hAnsiTheme="majorHAnsi"/>
          <w:b/>
          <w:bCs/>
          <w:color w:val="17365D" w:themeColor="text2" w:themeShade="BF"/>
          <w:sz w:val="20"/>
          <w:vertAlign w:val="superscript"/>
        </w:rPr>
        <w:t>th</w:t>
      </w:r>
      <w:r w:rsidRPr="00A4106E">
        <w:rPr>
          <w:rFonts w:asciiTheme="majorHAnsi" w:hAnsiTheme="majorHAnsi"/>
          <w:b/>
          <w:bCs/>
          <w:color w:val="17365D" w:themeColor="text2" w:themeShade="BF"/>
          <w:sz w:val="20"/>
        </w:rPr>
        <w:t xml:space="preserve"> Floor, Renganaden Seeneevassen Building</w:t>
      </w:r>
    </w:p>
    <w:p w:rsidR="00954BBC" w:rsidRPr="00A4106E" w:rsidRDefault="00954BBC" w:rsidP="00A914B6">
      <w:pPr>
        <w:spacing w:after="0" w:line="240" w:lineRule="auto"/>
        <w:jc w:val="right"/>
        <w:rPr>
          <w:rFonts w:asciiTheme="majorHAnsi" w:hAnsiTheme="majorHAnsi"/>
          <w:b/>
          <w:bCs/>
          <w:color w:val="17365D" w:themeColor="text2" w:themeShade="BF"/>
          <w:sz w:val="20"/>
        </w:rPr>
      </w:pPr>
      <w:r w:rsidRPr="00A4106E">
        <w:rPr>
          <w:rFonts w:asciiTheme="majorHAnsi" w:hAnsiTheme="majorHAnsi"/>
          <w:b/>
          <w:bCs/>
          <w:color w:val="17365D" w:themeColor="text2" w:themeShade="BF"/>
          <w:sz w:val="20"/>
        </w:rPr>
        <w:tab/>
        <w:t>Cnr Maillard &amp; Pope Hennessy Street</w:t>
      </w:r>
    </w:p>
    <w:p w:rsidR="001C020B" w:rsidRPr="00A4106E" w:rsidRDefault="00492F7C" w:rsidP="00464A8A">
      <w:pPr>
        <w:rPr>
          <w:color w:val="17365D" w:themeColor="text2" w:themeShade="BF"/>
        </w:rPr>
      </w:pPr>
      <w:r>
        <w:rPr>
          <w:b/>
          <w:bCs/>
          <w:color w:val="17365D" w:themeColor="text2" w:themeShade="BF"/>
          <w:sz w:val="20"/>
        </w:rPr>
        <w:t>17</w:t>
      </w:r>
      <w:r w:rsidR="001851FF" w:rsidRPr="00A4106E">
        <w:rPr>
          <w:b/>
          <w:bCs/>
          <w:color w:val="17365D" w:themeColor="text2" w:themeShade="BF"/>
          <w:sz w:val="20"/>
        </w:rPr>
        <w:t xml:space="preserve"> July 2020</w:t>
      </w:r>
      <w:r w:rsidR="00E37580" w:rsidRPr="00A4106E">
        <w:rPr>
          <w:b/>
          <w:bCs/>
          <w:color w:val="17365D" w:themeColor="text2" w:themeShade="BF"/>
          <w:sz w:val="20"/>
        </w:rPr>
        <w:tab/>
        <w:t xml:space="preserve">     </w:t>
      </w:r>
      <w:r w:rsidR="00464A8A" w:rsidRPr="00A4106E">
        <w:rPr>
          <w:color w:val="17365D" w:themeColor="text2" w:themeShade="BF"/>
        </w:rPr>
        <w:t xml:space="preserve">                                                                                                                                       </w:t>
      </w:r>
      <w:r w:rsidR="00954BBC" w:rsidRPr="00A4106E">
        <w:rPr>
          <w:rFonts w:asciiTheme="majorHAnsi" w:hAnsiTheme="majorHAnsi"/>
          <w:b/>
          <w:bCs/>
          <w:color w:val="17365D" w:themeColor="text2" w:themeShade="BF"/>
          <w:sz w:val="20"/>
        </w:rPr>
        <w:t>Port Louis</w:t>
      </w:r>
      <w:r w:rsidR="001D68F6" w:rsidRPr="00A4106E">
        <w:rPr>
          <w:rFonts w:asciiTheme="majorHAnsi" w:hAnsiTheme="majorHAnsi"/>
          <w:b/>
          <w:bCs/>
          <w:color w:val="17365D" w:themeColor="text2" w:themeShade="BF"/>
          <w:sz w:val="20"/>
        </w:rPr>
        <w:t xml:space="preserve">      </w:t>
      </w:r>
    </w:p>
    <w:p w:rsidR="001C020B" w:rsidRPr="00A4106E" w:rsidRDefault="001C020B" w:rsidP="00A914B6">
      <w:pPr>
        <w:spacing w:after="0" w:line="240" w:lineRule="auto"/>
        <w:jc w:val="right"/>
        <w:rPr>
          <w:rFonts w:asciiTheme="majorHAnsi" w:hAnsiTheme="majorHAnsi"/>
          <w:b/>
          <w:bCs/>
          <w:color w:val="17365D" w:themeColor="text2" w:themeShade="BF"/>
          <w:sz w:val="20"/>
        </w:rPr>
      </w:pPr>
    </w:p>
    <w:p w:rsidR="001C020B" w:rsidRPr="00A4106E" w:rsidRDefault="001C020B" w:rsidP="001C020B">
      <w:pPr>
        <w:spacing w:after="0" w:line="240" w:lineRule="auto"/>
        <w:rPr>
          <w:rFonts w:asciiTheme="majorHAnsi" w:hAnsiTheme="majorHAnsi"/>
          <w:b/>
          <w:bCs/>
          <w:color w:val="17365D" w:themeColor="text2" w:themeShade="BF"/>
          <w:sz w:val="20"/>
        </w:rPr>
      </w:pPr>
    </w:p>
    <w:sectPr w:rsidR="001C020B" w:rsidRPr="00A4106E" w:rsidSect="00586EB2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00" w:rsidRDefault="00487000" w:rsidP="00CD57D4">
      <w:pPr>
        <w:spacing w:after="0" w:line="240" w:lineRule="auto"/>
      </w:pPr>
      <w:r>
        <w:separator/>
      </w:r>
    </w:p>
  </w:endnote>
  <w:endnote w:type="continuationSeparator" w:id="0">
    <w:p w:rsidR="00487000" w:rsidRDefault="00487000" w:rsidP="00CD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00" w:rsidRDefault="00487000" w:rsidP="00CD57D4">
      <w:pPr>
        <w:spacing w:after="0" w:line="240" w:lineRule="auto"/>
      </w:pPr>
      <w:r>
        <w:separator/>
      </w:r>
    </w:p>
  </w:footnote>
  <w:footnote w:type="continuationSeparator" w:id="0">
    <w:p w:rsidR="00487000" w:rsidRDefault="00487000" w:rsidP="00CD5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B5"/>
    <w:rsid w:val="00024AB7"/>
    <w:rsid w:val="00032F07"/>
    <w:rsid w:val="00041671"/>
    <w:rsid w:val="00053193"/>
    <w:rsid w:val="000A127A"/>
    <w:rsid w:val="000A2BBF"/>
    <w:rsid w:val="000B43F4"/>
    <w:rsid w:val="000B6F2B"/>
    <w:rsid w:val="000F2C3D"/>
    <w:rsid w:val="000F407A"/>
    <w:rsid w:val="000F7C90"/>
    <w:rsid w:val="0010409A"/>
    <w:rsid w:val="001426EC"/>
    <w:rsid w:val="00151BC9"/>
    <w:rsid w:val="00161A7D"/>
    <w:rsid w:val="00167ECF"/>
    <w:rsid w:val="00176856"/>
    <w:rsid w:val="00177A32"/>
    <w:rsid w:val="001851FF"/>
    <w:rsid w:val="001946A5"/>
    <w:rsid w:val="001C020B"/>
    <w:rsid w:val="001D68F6"/>
    <w:rsid w:val="001F5E1E"/>
    <w:rsid w:val="002006E8"/>
    <w:rsid w:val="00202EDE"/>
    <w:rsid w:val="0020665E"/>
    <w:rsid w:val="00230A8C"/>
    <w:rsid w:val="00261AD9"/>
    <w:rsid w:val="002657E4"/>
    <w:rsid w:val="00266BD1"/>
    <w:rsid w:val="002B3E4E"/>
    <w:rsid w:val="002C09FC"/>
    <w:rsid w:val="002E6F7E"/>
    <w:rsid w:val="00322BC4"/>
    <w:rsid w:val="003351BA"/>
    <w:rsid w:val="00342609"/>
    <w:rsid w:val="00352ECF"/>
    <w:rsid w:val="0035742B"/>
    <w:rsid w:val="00374490"/>
    <w:rsid w:val="00384D26"/>
    <w:rsid w:val="00385C6F"/>
    <w:rsid w:val="00390A2B"/>
    <w:rsid w:val="003A16DD"/>
    <w:rsid w:val="00464A8A"/>
    <w:rsid w:val="00477EEC"/>
    <w:rsid w:val="00487000"/>
    <w:rsid w:val="00492F7C"/>
    <w:rsid w:val="004A74BF"/>
    <w:rsid w:val="004A75F6"/>
    <w:rsid w:val="004C5310"/>
    <w:rsid w:val="004F17C5"/>
    <w:rsid w:val="0051012E"/>
    <w:rsid w:val="00566A27"/>
    <w:rsid w:val="005704B9"/>
    <w:rsid w:val="00575B0F"/>
    <w:rsid w:val="005816DF"/>
    <w:rsid w:val="00586EB2"/>
    <w:rsid w:val="005A2A90"/>
    <w:rsid w:val="005E211A"/>
    <w:rsid w:val="0069479A"/>
    <w:rsid w:val="006B301A"/>
    <w:rsid w:val="006F7B30"/>
    <w:rsid w:val="00703366"/>
    <w:rsid w:val="0071221E"/>
    <w:rsid w:val="00713006"/>
    <w:rsid w:val="00715B65"/>
    <w:rsid w:val="00734871"/>
    <w:rsid w:val="00756097"/>
    <w:rsid w:val="00765897"/>
    <w:rsid w:val="007C3268"/>
    <w:rsid w:val="007C791D"/>
    <w:rsid w:val="007E5C11"/>
    <w:rsid w:val="00816AAF"/>
    <w:rsid w:val="0082372C"/>
    <w:rsid w:val="008D1C1F"/>
    <w:rsid w:val="008D2E66"/>
    <w:rsid w:val="008F613A"/>
    <w:rsid w:val="009038F4"/>
    <w:rsid w:val="00954BBC"/>
    <w:rsid w:val="00960E12"/>
    <w:rsid w:val="00962B5A"/>
    <w:rsid w:val="009C4099"/>
    <w:rsid w:val="009E28DB"/>
    <w:rsid w:val="00A3578B"/>
    <w:rsid w:val="00A4106E"/>
    <w:rsid w:val="00A67B38"/>
    <w:rsid w:val="00A720BF"/>
    <w:rsid w:val="00A74592"/>
    <w:rsid w:val="00A914B6"/>
    <w:rsid w:val="00AD00AC"/>
    <w:rsid w:val="00AF3CDF"/>
    <w:rsid w:val="00B04852"/>
    <w:rsid w:val="00B90569"/>
    <w:rsid w:val="00B92AE1"/>
    <w:rsid w:val="00B97521"/>
    <w:rsid w:val="00BA670F"/>
    <w:rsid w:val="00BC6B47"/>
    <w:rsid w:val="00C2191F"/>
    <w:rsid w:val="00C3060F"/>
    <w:rsid w:val="00C5589E"/>
    <w:rsid w:val="00C95EE0"/>
    <w:rsid w:val="00CA5DD4"/>
    <w:rsid w:val="00CC16B9"/>
    <w:rsid w:val="00CD274C"/>
    <w:rsid w:val="00CD57D4"/>
    <w:rsid w:val="00D07F17"/>
    <w:rsid w:val="00D12FA2"/>
    <w:rsid w:val="00D439B5"/>
    <w:rsid w:val="00D476D8"/>
    <w:rsid w:val="00D55AFE"/>
    <w:rsid w:val="00D67D81"/>
    <w:rsid w:val="00D756EE"/>
    <w:rsid w:val="00D85D7B"/>
    <w:rsid w:val="00D876A2"/>
    <w:rsid w:val="00D91136"/>
    <w:rsid w:val="00DA3848"/>
    <w:rsid w:val="00DA6003"/>
    <w:rsid w:val="00DC08C3"/>
    <w:rsid w:val="00DC2DFD"/>
    <w:rsid w:val="00DD5872"/>
    <w:rsid w:val="00DF0B1F"/>
    <w:rsid w:val="00E22160"/>
    <w:rsid w:val="00E25E7E"/>
    <w:rsid w:val="00E37580"/>
    <w:rsid w:val="00E4258C"/>
    <w:rsid w:val="00E63244"/>
    <w:rsid w:val="00E7547F"/>
    <w:rsid w:val="00E96CD5"/>
    <w:rsid w:val="00EA72FC"/>
    <w:rsid w:val="00EE062F"/>
    <w:rsid w:val="00EE4A7C"/>
    <w:rsid w:val="00F0458D"/>
    <w:rsid w:val="00F265D5"/>
    <w:rsid w:val="00F3778D"/>
    <w:rsid w:val="00F66843"/>
    <w:rsid w:val="00F75956"/>
    <w:rsid w:val="00FD5498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7C8EF-A6C6-4E95-A066-A6D0DDA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7D4"/>
  </w:style>
  <w:style w:type="paragraph" w:styleId="Footer">
    <w:name w:val="footer"/>
    <w:basedOn w:val="Normal"/>
    <w:link w:val="FooterChar"/>
    <w:uiPriority w:val="99"/>
    <w:semiHidden/>
    <w:unhideWhenUsed/>
    <w:rsid w:val="00C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57D4"/>
  </w:style>
  <w:style w:type="paragraph" w:styleId="BalloonText">
    <w:name w:val="Balloon Text"/>
    <w:basedOn w:val="Normal"/>
    <w:link w:val="BalloonTextChar"/>
    <w:uiPriority w:val="99"/>
    <w:semiHidden/>
    <w:unhideWhenUsed/>
    <w:rsid w:val="007C326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68"/>
    <w:rPr>
      <w:rFonts w:ascii="Segoe UI" w:hAnsi="Segoe UI" w:cs="Mangal"/>
      <w:sz w:val="18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B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51B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97BC44-53C4-494C-B520-4ABB185D53C8}"/>
</file>

<file path=customXml/itemProps2.xml><?xml version="1.0" encoding="utf-8"?>
<ds:datastoreItem xmlns:ds="http://schemas.openxmlformats.org/officeDocument/2006/customXml" ds:itemID="{303019A6-05DC-4554-A1FA-E29F122EFBD2}"/>
</file>

<file path=customXml/itemProps3.xml><?xml version="1.0" encoding="utf-8"?>
<ds:datastoreItem xmlns:ds="http://schemas.openxmlformats.org/officeDocument/2006/customXml" ds:itemID="{CB1FBA98-C35A-4413-B5AD-4A3627451AFE}"/>
</file>

<file path=customXml/itemProps4.xml><?xml version="1.0" encoding="utf-8"?>
<ds:datastoreItem xmlns:ds="http://schemas.openxmlformats.org/officeDocument/2006/customXml" ds:itemID="{A324BB9D-9381-4619-957C-C7D7F4A15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2020-07-15T07:29:00Z</cp:lastPrinted>
  <dcterms:created xsi:type="dcterms:W3CDTF">2020-07-17T12:57:00Z</dcterms:created>
  <dcterms:modified xsi:type="dcterms:W3CDTF">2020-07-17T12:57:00Z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