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DA8" w:rsidRPr="00062283" w:rsidRDefault="00663D93" w:rsidP="001B26FC">
      <w:pPr>
        <w:jc w:val="center"/>
        <w:rPr>
          <w:rFonts w:ascii="Verdana" w:hAnsi="Verdana"/>
          <w:b/>
          <w:sz w:val="24"/>
          <w:szCs w:val="24"/>
          <w:lang w:val="fr-FR"/>
        </w:rPr>
      </w:pPr>
      <w:bookmarkStart w:id="0" w:name="_GoBack"/>
      <w:r w:rsidRPr="00062283">
        <w:rPr>
          <w:rFonts w:ascii="Verdana" w:hAnsi="Verdana"/>
          <w:b/>
          <w:sz w:val="24"/>
          <w:szCs w:val="24"/>
          <w:lang w:val="fr-FR"/>
        </w:rPr>
        <w:t>Communiqué de presse</w:t>
      </w:r>
    </w:p>
    <w:bookmarkEnd w:id="0"/>
    <w:p w:rsidR="002B3454" w:rsidRPr="00062283" w:rsidRDefault="002B3454">
      <w:pPr>
        <w:rPr>
          <w:rFonts w:ascii="Verdana" w:hAnsi="Verdana"/>
          <w:sz w:val="24"/>
          <w:szCs w:val="24"/>
          <w:lang w:val="fr-FR"/>
        </w:rPr>
      </w:pPr>
    </w:p>
    <w:p w:rsidR="00663D93" w:rsidRDefault="00663D93" w:rsidP="009247DF">
      <w:pPr>
        <w:ind w:firstLine="360"/>
        <w:jc w:val="both"/>
        <w:rPr>
          <w:rFonts w:ascii="Verdana" w:hAnsi="Verdana"/>
          <w:sz w:val="24"/>
          <w:szCs w:val="24"/>
          <w:lang w:val="fr-FR"/>
        </w:rPr>
      </w:pPr>
      <w:r w:rsidRPr="007D2788">
        <w:rPr>
          <w:rFonts w:ascii="Verdana" w:hAnsi="Verdana"/>
          <w:sz w:val="24"/>
          <w:szCs w:val="24"/>
          <w:lang w:val="fr-FR"/>
        </w:rPr>
        <w:t xml:space="preserve">Dans une lettre </w:t>
      </w:r>
      <w:r w:rsidR="002B3454" w:rsidRPr="007D2788">
        <w:rPr>
          <w:rFonts w:ascii="Verdana" w:hAnsi="Verdana"/>
          <w:sz w:val="24"/>
          <w:szCs w:val="24"/>
          <w:lang w:val="fr-FR"/>
        </w:rPr>
        <w:t>datée du 14 juillet 2020 d’un</w:t>
      </w:r>
      <w:r w:rsidR="004D389F" w:rsidRPr="007D2788">
        <w:rPr>
          <w:rFonts w:ascii="Verdana" w:hAnsi="Verdana"/>
          <w:sz w:val="24"/>
          <w:szCs w:val="24"/>
          <w:lang w:val="fr-FR"/>
        </w:rPr>
        <w:t>e</w:t>
      </w:r>
      <w:r w:rsidRPr="007D2788">
        <w:rPr>
          <w:rFonts w:ascii="Verdana" w:hAnsi="Verdana"/>
          <w:sz w:val="24"/>
          <w:szCs w:val="24"/>
          <w:lang w:val="fr-FR"/>
        </w:rPr>
        <w:t xml:space="preserve"> O</w:t>
      </w:r>
      <w:r w:rsidR="00234BAB" w:rsidRPr="007D2788">
        <w:rPr>
          <w:rFonts w:ascii="Verdana" w:hAnsi="Verdana"/>
          <w:sz w:val="24"/>
          <w:szCs w:val="24"/>
          <w:lang w:val="fr-FR"/>
        </w:rPr>
        <w:t>NG et suite aux articles de presse parus à ce sujet, le Ministère de l’environnement, de la Gestion des déche</w:t>
      </w:r>
      <w:r w:rsidR="004D389F" w:rsidRPr="007D2788">
        <w:rPr>
          <w:rFonts w:ascii="Verdana" w:hAnsi="Verdana"/>
          <w:sz w:val="24"/>
          <w:szCs w:val="24"/>
          <w:lang w:val="fr-FR"/>
        </w:rPr>
        <w:t>ts solides et du C</w:t>
      </w:r>
      <w:r w:rsidR="00234BAB" w:rsidRPr="007D2788">
        <w:rPr>
          <w:rFonts w:ascii="Verdana" w:hAnsi="Verdana"/>
          <w:sz w:val="24"/>
          <w:szCs w:val="24"/>
          <w:lang w:val="fr-FR"/>
        </w:rPr>
        <w:t xml:space="preserve">hangement climatique souhaite apporter </w:t>
      </w:r>
      <w:r w:rsidR="00BC0D5F" w:rsidRPr="007D2788">
        <w:rPr>
          <w:rFonts w:ascii="Verdana" w:hAnsi="Verdana"/>
          <w:sz w:val="24"/>
          <w:szCs w:val="24"/>
          <w:lang w:val="fr-FR"/>
        </w:rPr>
        <w:t>des clarifications</w:t>
      </w:r>
      <w:r w:rsidR="00234BAB" w:rsidRPr="007D2788">
        <w:rPr>
          <w:rFonts w:ascii="Verdana" w:hAnsi="Verdana"/>
          <w:sz w:val="24"/>
          <w:szCs w:val="24"/>
          <w:lang w:val="fr-FR"/>
        </w:rPr>
        <w:t xml:space="preserve"> sur les points </w:t>
      </w:r>
      <w:r w:rsidR="00E452F8" w:rsidRPr="007D2788">
        <w:rPr>
          <w:rFonts w:ascii="Verdana" w:hAnsi="Verdana"/>
          <w:sz w:val="24"/>
          <w:szCs w:val="24"/>
          <w:lang w:val="fr-FR"/>
        </w:rPr>
        <w:t>suivants :</w:t>
      </w:r>
      <w:r w:rsidR="00234BAB" w:rsidRPr="007D2788">
        <w:rPr>
          <w:rFonts w:ascii="Verdana" w:hAnsi="Verdana"/>
          <w:sz w:val="24"/>
          <w:szCs w:val="24"/>
          <w:lang w:val="fr-FR"/>
        </w:rPr>
        <w:t xml:space="preserve">  </w:t>
      </w:r>
    </w:p>
    <w:p w:rsidR="0024234B" w:rsidRPr="007D2788" w:rsidRDefault="0024234B" w:rsidP="009247DF">
      <w:pPr>
        <w:ind w:firstLine="360"/>
        <w:jc w:val="both"/>
        <w:rPr>
          <w:rFonts w:ascii="Verdana" w:hAnsi="Verdana"/>
          <w:sz w:val="24"/>
          <w:szCs w:val="24"/>
          <w:lang w:val="fr-FR"/>
        </w:rPr>
      </w:pPr>
    </w:p>
    <w:p w:rsidR="004F10AB" w:rsidRDefault="00C65838" w:rsidP="00234BAB">
      <w:pPr>
        <w:pStyle w:val="ListParagraph"/>
        <w:numPr>
          <w:ilvl w:val="0"/>
          <w:numId w:val="1"/>
        </w:numPr>
        <w:jc w:val="both"/>
        <w:rPr>
          <w:rFonts w:ascii="Verdana" w:hAnsi="Verdana"/>
          <w:sz w:val="24"/>
          <w:szCs w:val="24"/>
          <w:lang w:val="fr-FR"/>
        </w:rPr>
      </w:pPr>
      <w:r w:rsidRPr="009E263C">
        <w:rPr>
          <w:rFonts w:ascii="Verdana" w:hAnsi="Verdana" w:cs="Arial"/>
          <w:sz w:val="24"/>
          <w:szCs w:val="24"/>
          <w:lang w:val="fr-FR"/>
        </w:rPr>
        <w:t>L’octroi</w:t>
      </w:r>
      <w:r w:rsidR="004F10AB" w:rsidRPr="009E263C">
        <w:rPr>
          <w:rFonts w:ascii="Verdana" w:hAnsi="Verdana" w:cs="Arial"/>
          <w:sz w:val="24"/>
          <w:szCs w:val="24"/>
          <w:lang w:val="fr-FR"/>
        </w:rPr>
        <w:t xml:space="preserve"> </w:t>
      </w:r>
      <w:r w:rsidR="004F10AB" w:rsidRPr="007D2788">
        <w:rPr>
          <w:rFonts w:ascii="Verdana" w:hAnsi="Verdana"/>
          <w:sz w:val="24"/>
          <w:szCs w:val="24"/>
          <w:lang w:val="fr-FR"/>
        </w:rPr>
        <w:t xml:space="preserve">des permis et </w:t>
      </w:r>
      <w:r w:rsidR="004F10AB" w:rsidRPr="007D2788">
        <w:rPr>
          <w:rFonts w:ascii="Verdana" w:hAnsi="Verdana"/>
          <w:i/>
          <w:sz w:val="24"/>
          <w:szCs w:val="24"/>
          <w:lang w:val="fr-FR"/>
        </w:rPr>
        <w:t>clearances</w:t>
      </w:r>
      <w:r w:rsidR="004F10AB" w:rsidRPr="007D2788">
        <w:rPr>
          <w:rFonts w:ascii="Verdana" w:hAnsi="Verdana"/>
          <w:sz w:val="24"/>
          <w:szCs w:val="24"/>
          <w:lang w:val="fr-FR"/>
        </w:rPr>
        <w:t xml:space="preserve"> pour les développements </w:t>
      </w:r>
      <w:r w:rsidR="004F10AB" w:rsidRPr="009E263C">
        <w:rPr>
          <w:rFonts w:ascii="Verdana" w:hAnsi="Verdana" w:cs="Arial"/>
          <w:sz w:val="24"/>
          <w:szCs w:val="24"/>
          <w:lang w:val="fr-FR"/>
        </w:rPr>
        <w:t>;</w:t>
      </w:r>
    </w:p>
    <w:p w:rsidR="004F10AB" w:rsidRDefault="004F10AB" w:rsidP="004F10AB">
      <w:pPr>
        <w:pStyle w:val="ListParagraph"/>
        <w:jc w:val="both"/>
        <w:rPr>
          <w:rFonts w:ascii="Verdana" w:hAnsi="Verdana"/>
          <w:sz w:val="24"/>
          <w:szCs w:val="24"/>
          <w:lang w:val="fr-FR"/>
        </w:rPr>
      </w:pPr>
    </w:p>
    <w:p w:rsidR="00234BAB" w:rsidRPr="007D2788" w:rsidRDefault="00234BAB" w:rsidP="00234BAB">
      <w:pPr>
        <w:pStyle w:val="ListParagraph"/>
        <w:numPr>
          <w:ilvl w:val="0"/>
          <w:numId w:val="1"/>
        </w:numPr>
        <w:jc w:val="both"/>
        <w:rPr>
          <w:rFonts w:ascii="Verdana" w:hAnsi="Verdana"/>
          <w:sz w:val="24"/>
          <w:szCs w:val="24"/>
          <w:lang w:val="fr-FR"/>
        </w:rPr>
      </w:pPr>
      <w:r w:rsidRPr="007D2788">
        <w:rPr>
          <w:rFonts w:ascii="Verdana" w:hAnsi="Verdana"/>
          <w:sz w:val="24"/>
          <w:szCs w:val="24"/>
          <w:lang w:val="fr-FR"/>
        </w:rPr>
        <w:t>Le droit de faire appel (</w:t>
      </w:r>
      <w:r w:rsidR="004D389F" w:rsidRPr="007D2788">
        <w:rPr>
          <w:rFonts w:ascii="Verdana" w:hAnsi="Verdana"/>
          <w:i/>
          <w:sz w:val="24"/>
          <w:szCs w:val="24"/>
          <w:lang w:val="fr-FR"/>
        </w:rPr>
        <w:t>locus s</w:t>
      </w:r>
      <w:r w:rsidRPr="007D2788">
        <w:rPr>
          <w:rFonts w:ascii="Verdana" w:hAnsi="Verdana"/>
          <w:i/>
          <w:sz w:val="24"/>
          <w:szCs w:val="24"/>
          <w:lang w:val="fr-FR"/>
        </w:rPr>
        <w:t>tandi</w:t>
      </w:r>
      <w:r w:rsidRPr="007D2788">
        <w:rPr>
          <w:rFonts w:ascii="Verdana" w:hAnsi="Verdana"/>
          <w:sz w:val="24"/>
          <w:szCs w:val="24"/>
          <w:lang w:val="fr-FR"/>
        </w:rPr>
        <w:t xml:space="preserve">) contre des </w:t>
      </w:r>
      <w:r w:rsidR="00062283" w:rsidRPr="007D2788">
        <w:rPr>
          <w:rFonts w:ascii="Verdana" w:hAnsi="Verdana"/>
          <w:sz w:val="24"/>
          <w:szCs w:val="24"/>
          <w:lang w:val="fr-FR"/>
        </w:rPr>
        <w:t>décisions</w:t>
      </w:r>
      <w:r w:rsidRPr="007D2788">
        <w:rPr>
          <w:rFonts w:ascii="Verdana" w:hAnsi="Verdana"/>
          <w:sz w:val="24"/>
          <w:szCs w:val="24"/>
          <w:lang w:val="fr-FR"/>
        </w:rPr>
        <w:t xml:space="preserve"> qui auraient un effet préjudiciable sur </w:t>
      </w:r>
      <w:r w:rsidR="00B22A94" w:rsidRPr="007D2788">
        <w:rPr>
          <w:rFonts w:ascii="Verdana" w:hAnsi="Verdana"/>
          <w:sz w:val="24"/>
          <w:szCs w:val="24"/>
          <w:lang w:val="fr-FR"/>
        </w:rPr>
        <w:t>l’environnement ;</w:t>
      </w:r>
      <w:r w:rsidR="004F10AB" w:rsidRPr="004F10AB">
        <w:rPr>
          <w:rFonts w:ascii="Verdana" w:hAnsi="Verdana" w:cs="Arial"/>
          <w:sz w:val="24"/>
          <w:szCs w:val="24"/>
          <w:lang w:val="fr-FR"/>
        </w:rPr>
        <w:t xml:space="preserve"> </w:t>
      </w:r>
      <w:r w:rsidR="00591E88">
        <w:rPr>
          <w:rFonts w:ascii="Verdana" w:hAnsi="Verdana" w:cs="Arial"/>
          <w:sz w:val="24"/>
          <w:szCs w:val="24"/>
          <w:lang w:val="fr-FR"/>
        </w:rPr>
        <w:t>e</w:t>
      </w:r>
      <w:r w:rsidR="004F10AB" w:rsidRPr="009E263C">
        <w:rPr>
          <w:rFonts w:ascii="Verdana" w:hAnsi="Verdana" w:cs="Arial"/>
          <w:sz w:val="24"/>
          <w:szCs w:val="24"/>
          <w:lang w:val="fr-FR"/>
        </w:rPr>
        <w:t>t</w:t>
      </w:r>
    </w:p>
    <w:p w:rsidR="00234BAB" w:rsidRPr="007D2788" w:rsidRDefault="00234BAB" w:rsidP="00234BAB">
      <w:pPr>
        <w:pStyle w:val="ListParagraph"/>
        <w:jc w:val="both"/>
        <w:rPr>
          <w:rFonts w:ascii="Verdana" w:hAnsi="Verdana"/>
          <w:sz w:val="24"/>
          <w:szCs w:val="24"/>
          <w:lang w:val="fr-FR"/>
        </w:rPr>
      </w:pPr>
    </w:p>
    <w:p w:rsidR="00234BAB" w:rsidRPr="009E263C" w:rsidRDefault="0067561D" w:rsidP="00754E69">
      <w:pPr>
        <w:pStyle w:val="ListParagraph"/>
        <w:numPr>
          <w:ilvl w:val="0"/>
          <w:numId w:val="1"/>
        </w:numPr>
        <w:spacing w:after="200" w:line="276" w:lineRule="auto"/>
        <w:jc w:val="both"/>
        <w:rPr>
          <w:rFonts w:ascii="Verdana" w:hAnsi="Verdana" w:cs="Arial"/>
          <w:sz w:val="24"/>
          <w:szCs w:val="24"/>
          <w:lang w:val="fr-FR"/>
        </w:rPr>
      </w:pPr>
      <w:r>
        <w:rPr>
          <w:rFonts w:ascii="Verdana" w:hAnsi="Verdana" w:cs="Arial"/>
          <w:sz w:val="24"/>
          <w:szCs w:val="24"/>
          <w:lang w:val="fr-FR"/>
        </w:rPr>
        <w:t xml:space="preserve">Les </w:t>
      </w:r>
      <w:r w:rsidR="00234BAB" w:rsidRPr="009E263C">
        <w:rPr>
          <w:rFonts w:ascii="Verdana" w:hAnsi="Verdana" w:cs="Arial"/>
          <w:sz w:val="24"/>
          <w:szCs w:val="24"/>
          <w:lang w:val="fr-FR"/>
        </w:rPr>
        <w:t xml:space="preserve">recommandations provisoires formulées </w:t>
      </w:r>
      <w:r w:rsidR="00EC1958" w:rsidRPr="009E263C">
        <w:rPr>
          <w:rFonts w:ascii="Verdana" w:hAnsi="Verdana" w:cs="Arial"/>
          <w:sz w:val="24"/>
          <w:szCs w:val="24"/>
          <w:lang w:val="fr-FR"/>
        </w:rPr>
        <w:t xml:space="preserve">par la </w:t>
      </w:r>
      <w:r w:rsidR="00EC1958" w:rsidRPr="009E263C">
        <w:rPr>
          <w:rFonts w:ascii="Verdana" w:hAnsi="Verdana" w:cs="Arial"/>
          <w:i/>
          <w:sz w:val="24"/>
          <w:szCs w:val="24"/>
          <w:lang w:val="fr-FR"/>
        </w:rPr>
        <w:t>Social and Environnemental Compliance Unit</w:t>
      </w:r>
      <w:r w:rsidR="00EC1958" w:rsidRPr="009E263C">
        <w:rPr>
          <w:rFonts w:ascii="Verdana" w:hAnsi="Verdana" w:cs="Arial"/>
          <w:sz w:val="24"/>
          <w:szCs w:val="24"/>
          <w:lang w:val="fr-FR"/>
        </w:rPr>
        <w:t xml:space="preserve"> </w:t>
      </w:r>
      <w:r w:rsidR="00234BAB" w:rsidRPr="009E263C">
        <w:rPr>
          <w:rFonts w:ascii="Verdana" w:hAnsi="Verdana" w:cs="Arial"/>
          <w:sz w:val="24"/>
          <w:szCs w:val="24"/>
          <w:lang w:val="fr-FR"/>
        </w:rPr>
        <w:t>(SECU) du PNUD</w:t>
      </w:r>
      <w:r w:rsidR="00EC1958" w:rsidRPr="009E263C">
        <w:rPr>
          <w:rFonts w:ascii="Verdana" w:hAnsi="Verdana" w:cs="Arial"/>
          <w:sz w:val="24"/>
          <w:szCs w:val="24"/>
          <w:lang w:val="fr-FR"/>
        </w:rPr>
        <w:t xml:space="preserve"> (Programme des Nations Unies pour le </w:t>
      </w:r>
      <w:r w:rsidR="00B22A94" w:rsidRPr="009E263C">
        <w:rPr>
          <w:rFonts w:ascii="Verdana" w:hAnsi="Verdana" w:cs="Arial"/>
          <w:sz w:val="24"/>
          <w:szCs w:val="24"/>
          <w:lang w:val="fr-FR"/>
        </w:rPr>
        <w:t>développement) à</w:t>
      </w:r>
      <w:r w:rsidR="00234BAB" w:rsidRPr="009E263C">
        <w:rPr>
          <w:rFonts w:ascii="Verdana" w:hAnsi="Verdana" w:cs="Arial"/>
          <w:sz w:val="24"/>
          <w:szCs w:val="24"/>
          <w:lang w:val="fr-FR"/>
        </w:rPr>
        <w:t xml:space="preserve"> la suite de leur enq</w:t>
      </w:r>
      <w:r w:rsidR="00BC0D5F" w:rsidRPr="009E263C">
        <w:rPr>
          <w:rFonts w:ascii="Verdana" w:hAnsi="Verdana" w:cs="Arial"/>
          <w:sz w:val="24"/>
          <w:szCs w:val="24"/>
          <w:lang w:val="fr-FR"/>
        </w:rPr>
        <w:t>uête à Maurice en juillet 2019</w:t>
      </w:r>
      <w:r w:rsidR="004F10AB">
        <w:rPr>
          <w:rFonts w:ascii="Verdana" w:hAnsi="Verdana" w:cs="Arial"/>
          <w:sz w:val="24"/>
          <w:szCs w:val="24"/>
          <w:lang w:val="fr-FR"/>
        </w:rPr>
        <w:t>.</w:t>
      </w:r>
      <w:r w:rsidR="00BC0D5F" w:rsidRPr="009E263C">
        <w:rPr>
          <w:rFonts w:ascii="Verdana" w:hAnsi="Verdana" w:cs="Arial"/>
          <w:sz w:val="24"/>
          <w:szCs w:val="24"/>
          <w:lang w:val="fr-FR"/>
        </w:rPr>
        <w:t xml:space="preserve">  </w:t>
      </w:r>
    </w:p>
    <w:p w:rsidR="00234BAB" w:rsidRPr="007D2788" w:rsidRDefault="00234BAB" w:rsidP="0012712E">
      <w:pPr>
        <w:pStyle w:val="ListParagraph"/>
        <w:jc w:val="both"/>
        <w:rPr>
          <w:rFonts w:ascii="Verdana" w:hAnsi="Verdana"/>
          <w:sz w:val="24"/>
          <w:szCs w:val="24"/>
          <w:lang w:val="fr-FR"/>
        </w:rPr>
      </w:pPr>
    </w:p>
    <w:p w:rsidR="004F10AB" w:rsidRDefault="004F10AB" w:rsidP="004F10AB">
      <w:pPr>
        <w:ind w:firstLine="360"/>
        <w:jc w:val="both"/>
        <w:rPr>
          <w:rFonts w:ascii="Verdana" w:hAnsi="Verdana"/>
          <w:sz w:val="24"/>
          <w:szCs w:val="24"/>
          <w:lang w:val="fr-FR"/>
        </w:rPr>
      </w:pPr>
      <w:r w:rsidRPr="007D2788">
        <w:rPr>
          <w:rFonts w:ascii="Verdana" w:hAnsi="Verdana"/>
          <w:sz w:val="24"/>
          <w:szCs w:val="24"/>
          <w:lang w:val="fr-FR"/>
        </w:rPr>
        <w:t xml:space="preserve">Le Ministère tient à préciser que l’octroi des permis de développement incluant les </w:t>
      </w:r>
      <w:r w:rsidRPr="007D2788">
        <w:rPr>
          <w:rFonts w:ascii="Verdana" w:hAnsi="Verdana"/>
          <w:i/>
          <w:sz w:val="24"/>
          <w:szCs w:val="24"/>
          <w:lang w:val="fr-FR"/>
        </w:rPr>
        <w:t>clearances</w:t>
      </w:r>
      <w:r w:rsidRPr="007D2788">
        <w:rPr>
          <w:rFonts w:ascii="Verdana" w:hAnsi="Verdana"/>
          <w:sz w:val="24"/>
          <w:szCs w:val="24"/>
          <w:lang w:val="fr-FR"/>
        </w:rPr>
        <w:t xml:space="preserve"> et licence EIA suivent des procédures é</w:t>
      </w:r>
      <w:r w:rsidR="003C77D3">
        <w:rPr>
          <w:rFonts w:ascii="Verdana" w:hAnsi="Verdana"/>
          <w:sz w:val="24"/>
          <w:szCs w:val="24"/>
          <w:lang w:val="fr-FR"/>
        </w:rPr>
        <w:t>tablies et transparentes. Les dé</w:t>
      </w:r>
      <w:r w:rsidRPr="007D2788">
        <w:rPr>
          <w:rFonts w:ascii="Verdana" w:hAnsi="Verdana"/>
          <w:sz w:val="24"/>
          <w:szCs w:val="24"/>
          <w:lang w:val="fr-FR"/>
        </w:rPr>
        <w:t xml:space="preserve">cisions prises sont motivées par des évaluations techniques et </w:t>
      </w:r>
      <w:r w:rsidR="00062283" w:rsidRPr="007D2788">
        <w:rPr>
          <w:rFonts w:ascii="Verdana" w:hAnsi="Verdana"/>
          <w:sz w:val="24"/>
          <w:szCs w:val="24"/>
          <w:lang w:val="fr-FR"/>
        </w:rPr>
        <w:t>interministérielles</w:t>
      </w:r>
      <w:r w:rsidRPr="007D2788">
        <w:rPr>
          <w:rFonts w:ascii="Verdana" w:hAnsi="Verdana"/>
          <w:sz w:val="24"/>
          <w:szCs w:val="24"/>
          <w:lang w:val="fr-FR"/>
        </w:rPr>
        <w:t xml:space="preserve">.  Précisons que certains cas sont en cours et ne peuvent être commentés à ce stade. </w:t>
      </w:r>
    </w:p>
    <w:p w:rsidR="004F10AB" w:rsidRDefault="004F10AB" w:rsidP="004F10AB">
      <w:pPr>
        <w:ind w:firstLine="360"/>
        <w:jc w:val="both"/>
        <w:rPr>
          <w:rFonts w:ascii="Verdana" w:hAnsi="Verdana" w:cs="Times New Roman"/>
          <w:sz w:val="24"/>
          <w:szCs w:val="24"/>
          <w:lang w:val="fr-FR"/>
        </w:rPr>
      </w:pPr>
      <w:r w:rsidRPr="007D2788">
        <w:rPr>
          <w:rFonts w:ascii="Verdana" w:hAnsi="Verdana" w:cs="Times New Roman"/>
          <w:sz w:val="24"/>
          <w:szCs w:val="24"/>
          <w:lang w:val="fr-FR"/>
        </w:rPr>
        <w:t xml:space="preserve">Concernant le mécanisme pour traiter les demandes de licences </w:t>
      </w:r>
      <w:r>
        <w:rPr>
          <w:rFonts w:ascii="Verdana" w:hAnsi="Verdana" w:cs="Times New Roman"/>
          <w:sz w:val="24"/>
          <w:szCs w:val="24"/>
          <w:lang w:val="fr-FR"/>
        </w:rPr>
        <w:t>environnementales</w:t>
      </w:r>
      <w:r w:rsidRPr="007D2788">
        <w:rPr>
          <w:rFonts w:ascii="Verdana" w:hAnsi="Verdana" w:cs="Times New Roman"/>
          <w:sz w:val="24"/>
          <w:szCs w:val="24"/>
          <w:lang w:val="fr-FR"/>
        </w:rPr>
        <w:t xml:space="preserve">, l’article 20 </w:t>
      </w:r>
      <w:r>
        <w:rPr>
          <w:rFonts w:ascii="Verdana" w:hAnsi="Verdana" w:cs="Times New Roman"/>
          <w:sz w:val="24"/>
          <w:szCs w:val="24"/>
          <w:lang w:val="fr-FR"/>
        </w:rPr>
        <w:t xml:space="preserve">de </w:t>
      </w:r>
      <w:r w:rsidRPr="00B22A94">
        <w:rPr>
          <w:rFonts w:ascii="Verdana" w:hAnsi="Verdana" w:cs="Times New Roman"/>
          <w:i/>
          <w:sz w:val="24"/>
          <w:szCs w:val="24"/>
          <w:lang w:val="fr-FR"/>
        </w:rPr>
        <w:t>l’Environment Protection Act 2002</w:t>
      </w:r>
      <w:r w:rsidRPr="007D2788">
        <w:rPr>
          <w:rFonts w:ascii="Verdana" w:hAnsi="Verdana" w:cs="Times New Roman"/>
          <w:sz w:val="24"/>
          <w:szCs w:val="24"/>
          <w:lang w:val="fr-FR"/>
        </w:rPr>
        <w:t xml:space="preserve"> </w:t>
      </w:r>
      <w:r w:rsidR="00062283" w:rsidRPr="007D2788">
        <w:rPr>
          <w:rFonts w:ascii="Verdana" w:hAnsi="Verdana" w:cs="Times New Roman"/>
          <w:sz w:val="24"/>
          <w:szCs w:val="24"/>
          <w:lang w:val="fr-FR"/>
        </w:rPr>
        <w:t>prévoit</w:t>
      </w:r>
      <w:r w:rsidRPr="007D2788">
        <w:rPr>
          <w:rFonts w:ascii="Verdana" w:hAnsi="Verdana" w:cs="Times New Roman"/>
          <w:sz w:val="24"/>
          <w:szCs w:val="24"/>
          <w:lang w:val="fr-FR"/>
        </w:rPr>
        <w:t xml:space="preserve"> qu’à la réception d’une dema</w:t>
      </w:r>
      <w:r>
        <w:rPr>
          <w:rFonts w:ascii="Verdana" w:hAnsi="Verdana" w:cs="Times New Roman"/>
          <w:sz w:val="24"/>
          <w:szCs w:val="24"/>
          <w:lang w:val="fr-FR"/>
        </w:rPr>
        <w:t>nde de licence EIA</w:t>
      </w:r>
      <w:r w:rsidRPr="007D2788">
        <w:rPr>
          <w:rFonts w:ascii="Verdana" w:hAnsi="Verdana" w:cs="Times New Roman"/>
          <w:sz w:val="24"/>
          <w:szCs w:val="24"/>
          <w:lang w:val="fr-FR"/>
        </w:rPr>
        <w:t>, un avis d’inspection soit publié dans le</w:t>
      </w:r>
      <w:r w:rsidR="00B22A94" w:rsidRPr="007D2788">
        <w:rPr>
          <w:rFonts w:ascii="Verdana" w:hAnsi="Verdana" w:cs="Times New Roman"/>
          <w:sz w:val="24"/>
          <w:szCs w:val="24"/>
          <w:lang w:val="fr-FR"/>
        </w:rPr>
        <w:t xml:space="preserve"> </w:t>
      </w:r>
      <w:r w:rsidR="00B22A94">
        <w:rPr>
          <w:rFonts w:ascii="Verdana" w:hAnsi="Verdana" w:cs="Times New Roman"/>
          <w:sz w:val="24"/>
          <w:szCs w:val="24"/>
          <w:lang w:val="fr-FR"/>
        </w:rPr>
        <w:t>«</w:t>
      </w:r>
      <w:r w:rsidR="00B22A94" w:rsidRPr="007D2788">
        <w:rPr>
          <w:rFonts w:ascii="Verdana" w:hAnsi="Verdana" w:cs="Times New Roman"/>
          <w:sz w:val="24"/>
          <w:szCs w:val="24"/>
          <w:lang w:val="fr-FR"/>
        </w:rPr>
        <w:t xml:space="preserve"> </w:t>
      </w:r>
      <w:r w:rsidR="00B22A94" w:rsidRPr="00B22A94">
        <w:rPr>
          <w:rFonts w:ascii="Verdana" w:hAnsi="Verdana" w:cs="Times New Roman"/>
          <w:i/>
          <w:sz w:val="24"/>
          <w:szCs w:val="24"/>
          <w:lang w:val="fr-FR"/>
        </w:rPr>
        <w:t>Government</w:t>
      </w:r>
      <w:r w:rsidRPr="00B22A94">
        <w:rPr>
          <w:rFonts w:ascii="Verdana" w:hAnsi="Verdana" w:cs="Times New Roman"/>
          <w:i/>
          <w:sz w:val="24"/>
          <w:szCs w:val="24"/>
          <w:lang w:val="fr-FR"/>
        </w:rPr>
        <w:t xml:space="preserve"> </w:t>
      </w:r>
      <w:r w:rsidR="00B22A94" w:rsidRPr="00B22A94">
        <w:rPr>
          <w:rFonts w:ascii="Verdana" w:hAnsi="Verdana" w:cs="Times New Roman"/>
          <w:i/>
          <w:sz w:val="24"/>
          <w:szCs w:val="24"/>
          <w:lang w:val="fr-FR"/>
        </w:rPr>
        <w:t>Gazette</w:t>
      </w:r>
      <w:r w:rsidR="00B22A94">
        <w:rPr>
          <w:rFonts w:ascii="Verdana" w:hAnsi="Verdana" w:cs="Times New Roman"/>
          <w:sz w:val="24"/>
          <w:szCs w:val="24"/>
          <w:lang w:val="fr-FR"/>
        </w:rPr>
        <w:t xml:space="preserve"> »</w:t>
      </w:r>
      <w:r>
        <w:rPr>
          <w:rFonts w:ascii="Verdana" w:hAnsi="Verdana" w:cs="Times New Roman"/>
          <w:sz w:val="24"/>
          <w:szCs w:val="24"/>
          <w:lang w:val="fr-FR"/>
        </w:rPr>
        <w:t>,</w:t>
      </w:r>
      <w:r w:rsidRPr="007D2788">
        <w:rPr>
          <w:rFonts w:ascii="Verdana" w:hAnsi="Verdana" w:cs="Times New Roman"/>
          <w:sz w:val="24"/>
          <w:szCs w:val="24"/>
          <w:lang w:val="fr-FR"/>
        </w:rPr>
        <w:t xml:space="preserve"> ainsi que dans deu</w:t>
      </w:r>
      <w:r w:rsidR="003C77D3">
        <w:rPr>
          <w:rFonts w:ascii="Verdana" w:hAnsi="Verdana" w:cs="Times New Roman"/>
          <w:sz w:val="24"/>
          <w:szCs w:val="24"/>
          <w:lang w:val="fr-FR"/>
        </w:rPr>
        <w:t>x journaux quotidiens. Ceci afin de</w:t>
      </w:r>
      <w:r w:rsidRPr="007D2788">
        <w:rPr>
          <w:rFonts w:ascii="Verdana" w:hAnsi="Verdana" w:cs="Times New Roman"/>
          <w:sz w:val="24"/>
          <w:szCs w:val="24"/>
          <w:lang w:val="fr-FR"/>
        </w:rPr>
        <w:t xml:space="preserve"> donner la possibilité au public et à tous ceux concernés de consulter ces rapports et de faire des commentaires et des représentations. </w:t>
      </w:r>
    </w:p>
    <w:p w:rsidR="004F10AB" w:rsidRDefault="004F10AB" w:rsidP="004F10AB">
      <w:pPr>
        <w:ind w:firstLine="360"/>
        <w:jc w:val="both"/>
        <w:rPr>
          <w:rFonts w:ascii="Verdana" w:hAnsi="Verdana" w:cs="Times New Roman"/>
          <w:sz w:val="24"/>
          <w:szCs w:val="24"/>
          <w:lang w:val="fr-FR"/>
        </w:rPr>
      </w:pPr>
      <w:r w:rsidRPr="007D2788">
        <w:rPr>
          <w:rFonts w:ascii="Verdana" w:hAnsi="Verdana" w:cs="Times New Roman"/>
          <w:sz w:val="24"/>
          <w:szCs w:val="24"/>
          <w:lang w:val="fr-FR"/>
        </w:rPr>
        <w:t>Le rapport est également tél</w:t>
      </w:r>
      <w:r w:rsidR="00B22A94">
        <w:rPr>
          <w:rFonts w:ascii="Verdana" w:hAnsi="Verdana" w:cs="Times New Roman"/>
          <w:sz w:val="24"/>
          <w:szCs w:val="24"/>
          <w:lang w:val="fr-FR"/>
        </w:rPr>
        <w:t>échargeable sur le site Web du M</w:t>
      </w:r>
      <w:r w:rsidRPr="007D2788">
        <w:rPr>
          <w:rFonts w:ascii="Verdana" w:hAnsi="Verdana" w:cs="Times New Roman"/>
          <w:sz w:val="24"/>
          <w:szCs w:val="24"/>
          <w:lang w:val="fr-FR"/>
        </w:rPr>
        <w:t>inistère de</w:t>
      </w:r>
      <w:r w:rsidR="00B22A94">
        <w:rPr>
          <w:rFonts w:ascii="Verdana" w:hAnsi="Verdana" w:cs="Times New Roman"/>
          <w:sz w:val="24"/>
          <w:szCs w:val="24"/>
          <w:lang w:val="fr-FR"/>
        </w:rPr>
        <w:t xml:space="preserve"> l’E</w:t>
      </w:r>
      <w:r w:rsidRPr="007D2788">
        <w:rPr>
          <w:rFonts w:ascii="Verdana" w:hAnsi="Verdana" w:cs="Times New Roman"/>
          <w:sz w:val="24"/>
          <w:szCs w:val="24"/>
          <w:lang w:val="fr-FR"/>
        </w:rPr>
        <w:t>nvironnement</w:t>
      </w:r>
      <w:r>
        <w:rPr>
          <w:rFonts w:ascii="Verdana" w:hAnsi="Verdana" w:cs="Times New Roman"/>
          <w:sz w:val="24"/>
          <w:szCs w:val="24"/>
          <w:lang w:val="fr-FR"/>
        </w:rPr>
        <w:t xml:space="preserve"> a</w:t>
      </w:r>
      <w:r w:rsidRPr="007D2788">
        <w:rPr>
          <w:rFonts w:ascii="Verdana" w:hAnsi="Verdana" w:cs="Times New Roman"/>
          <w:sz w:val="24"/>
          <w:szCs w:val="24"/>
          <w:lang w:val="fr-FR"/>
        </w:rPr>
        <w:t>fin d’assurer un plus grand accès</w:t>
      </w:r>
      <w:r>
        <w:rPr>
          <w:rFonts w:ascii="Verdana" w:hAnsi="Verdana" w:cs="Times New Roman"/>
          <w:sz w:val="24"/>
          <w:szCs w:val="24"/>
          <w:lang w:val="fr-FR"/>
        </w:rPr>
        <w:t xml:space="preserve"> au public. U</w:t>
      </w:r>
      <w:r w:rsidRPr="007D2788">
        <w:rPr>
          <w:rFonts w:ascii="Verdana" w:hAnsi="Verdana" w:cs="Times New Roman"/>
          <w:sz w:val="24"/>
          <w:szCs w:val="24"/>
          <w:lang w:val="fr-FR"/>
        </w:rPr>
        <w:t xml:space="preserve">ne copie du rapport </w:t>
      </w:r>
      <w:r>
        <w:rPr>
          <w:rFonts w:ascii="Verdana" w:hAnsi="Verdana" w:cs="Times New Roman"/>
          <w:sz w:val="24"/>
          <w:szCs w:val="24"/>
          <w:lang w:val="fr-FR"/>
        </w:rPr>
        <w:t>est</w:t>
      </w:r>
      <w:r w:rsidRPr="007D2788">
        <w:rPr>
          <w:rFonts w:ascii="Verdana" w:hAnsi="Verdana" w:cs="Times New Roman"/>
          <w:sz w:val="24"/>
          <w:szCs w:val="24"/>
          <w:lang w:val="fr-FR"/>
        </w:rPr>
        <w:t xml:space="preserve"> </w:t>
      </w:r>
      <w:r>
        <w:rPr>
          <w:rFonts w:ascii="Verdana" w:hAnsi="Verdana" w:cs="Times New Roman"/>
          <w:sz w:val="24"/>
          <w:szCs w:val="24"/>
          <w:lang w:val="fr-FR"/>
        </w:rPr>
        <w:t xml:space="preserve">aussi </w:t>
      </w:r>
      <w:r w:rsidRPr="007D2788">
        <w:rPr>
          <w:rFonts w:ascii="Verdana" w:hAnsi="Verdana" w:cs="Times New Roman"/>
          <w:sz w:val="24"/>
          <w:szCs w:val="24"/>
          <w:lang w:val="fr-FR"/>
        </w:rPr>
        <w:t xml:space="preserve">mise à la disposition du public pour inspection au </w:t>
      </w:r>
      <w:r w:rsidR="00C437D7">
        <w:rPr>
          <w:rFonts w:ascii="Verdana" w:hAnsi="Verdana" w:cs="Times New Roman"/>
          <w:i/>
          <w:sz w:val="24"/>
          <w:szCs w:val="24"/>
          <w:lang w:val="fr-FR"/>
        </w:rPr>
        <w:t>Res</w:t>
      </w:r>
      <w:r w:rsidRPr="007D2788">
        <w:rPr>
          <w:rFonts w:ascii="Verdana" w:hAnsi="Verdana" w:cs="Times New Roman"/>
          <w:i/>
          <w:sz w:val="24"/>
          <w:szCs w:val="24"/>
          <w:lang w:val="fr-FR"/>
        </w:rPr>
        <w:t>ource Centre</w:t>
      </w:r>
      <w:r w:rsidRPr="007D2788">
        <w:rPr>
          <w:rFonts w:ascii="Verdana" w:hAnsi="Verdana" w:cs="Times New Roman"/>
          <w:sz w:val="24"/>
          <w:szCs w:val="24"/>
          <w:lang w:val="fr-FR"/>
        </w:rPr>
        <w:t xml:space="preserve"> du ministère de l’Environnement et </w:t>
      </w:r>
      <w:r w:rsidR="00DF37F7">
        <w:rPr>
          <w:rFonts w:ascii="Verdana" w:hAnsi="Verdana" w:cs="Times New Roman"/>
          <w:sz w:val="24"/>
          <w:szCs w:val="24"/>
          <w:lang w:val="fr-FR"/>
        </w:rPr>
        <w:t>auprès de la collectivité locale</w:t>
      </w:r>
      <w:r w:rsidRPr="007D2788">
        <w:rPr>
          <w:rFonts w:ascii="Verdana" w:hAnsi="Verdana" w:cs="Times New Roman"/>
          <w:sz w:val="24"/>
          <w:szCs w:val="24"/>
          <w:lang w:val="fr-FR"/>
        </w:rPr>
        <w:t xml:space="preserve"> où le projet sera réalisé.</w:t>
      </w:r>
      <w:r w:rsidR="00E66138">
        <w:rPr>
          <w:rFonts w:ascii="Verdana" w:hAnsi="Verdana" w:cs="Times New Roman"/>
          <w:sz w:val="24"/>
          <w:szCs w:val="24"/>
          <w:lang w:val="fr-FR"/>
        </w:rPr>
        <w:t xml:space="preserve"> La procédure reste donc la même. </w:t>
      </w:r>
    </w:p>
    <w:p w:rsidR="0012712E" w:rsidRPr="007D2788" w:rsidRDefault="00EB21E8" w:rsidP="009247DF">
      <w:pPr>
        <w:ind w:firstLine="360"/>
        <w:jc w:val="both"/>
        <w:rPr>
          <w:rFonts w:ascii="Verdana" w:hAnsi="Verdana" w:cs="Arial"/>
          <w:color w:val="000000"/>
          <w:sz w:val="24"/>
          <w:szCs w:val="24"/>
          <w:lang w:val="fr-FR"/>
        </w:rPr>
      </w:pPr>
      <w:r w:rsidRPr="007D2788">
        <w:rPr>
          <w:rFonts w:ascii="Verdana" w:hAnsi="Verdana" w:cs="Arial"/>
          <w:color w:val="000000"/>
          <w:sz w:val="24"/>
          <w:szCs w:val="24"/>
          <w:lang w:val="fr-FR"/>
        </w:rPr>
        <w:t xml:space="preserve">Concernant </w:t>
      </w:r>
      <w:r w:rsidRPr="007D2788">
        <w:rPr>
          <w:rFonts w:ascii="Verdana" w:hAnsi="Verdana" w:cs="Arial"/>
          <w:i/>
          <w:color w:val="000000"/>
          <w:sz w:val="24"/>
          <w:szCs w:val="24"/>
          <w:lang w:val="fr-FR"/>
        </w:rPr>
        <w:t>le locus standi</w:t>
      </w:r>
      <w:r w:rsidRPr="007D2788">
        <w:rPr>
          <w:rFonts w:ascii="Verdana" w:hAnsi="Verdana" w:cs="Arial"/>
          <w:color w:val="000000"/>
          <w:sz w:val="24"/>
          <w:szCs w:val="24"/>
          <w:lang w:val="fr-FR"/>
        </w:rPr>
        <w:t xml:space="preserve">, rappelons </w:t>
      </w:r>
      <w:r w:rsidR="0012712E" w:rsidRPr="007D2788">
        <w:rPr>
          <w:rFonts w:ascii="Verdana" w:hAnsi="Verdana" w:cs="Arial"/>
          <w:color w:val="000000"/>
          <w:sz w:val="24"/>
          <w:szCs w:val="24"/>
          <w:lang w:val="fr-FR"/>
        </w:rPr>
        <w:t xml:space="preserve">la </w:t>
      </w:r>
      <w:r w:rsidR="00B22A94" w:rsidRPr="007D2788">
        <w:rPr>
          <w:rFonts w:ascii="Verdana" w:hAnsi="Verdana" w:cs="Arial"/>
          <w:color w:val="000000"/>
          <w:sz w:val="24"/>
          <w:szCs w:val="24"/>
          <w:lang w:val="fr-FR"/>
        </w:rPr>
        <w:t>décision</w:t>
      </w:r>
      <w:r w:rsidR="0012712E" w:rsidRPr="007D2788">
        <w:rPr>
          <w:rFonts w:ascii="Verdana" w:hAnsi="Verdana" w:cs="Arial"/>
          <w:color w:val="000000"/>
          <w:sz w:val="24"/>
          <w:szCs w:val="24"/>
          <w:lang w:val="fr-FR"/>
        </w:rPr>
        <w:t xml:space="preserve"> de la Cour Suprême </w:t>
      </w:r>
      <w:r w:rsidR="005F3138" w:rsidRPr="007D2788">
        <w:rPr>
          <w:rFonts w:ascii="Verdana" w:hAnsi="Verdana" w:cs="Arial"/>
          <w:color w:val="000000"/>
          <w:sz w:val="24"/>
          <w:szCs w:val="24"/>
          <w:lang w:val="fr-FR"/>
        </w:rPr>
        <w:t>dans l’affaire</w:t>
      </w:r>
      <w:r w:rsidR="0012712E" w:rsidRPr="007D2788">
        <w:rPr>
          <w:rFonts w:ascii="Verdana" w:hAnsi="Verdana" w:cs="Arial"/>
          <w:color w:val="000000"/>
          <w:sz w:val="24"/>
          <w:szCs w:val="24"/>
          <w:lang w:val="fr-FR"/>
        </w:rPr>
        <w:t xml:space="preserve"> BAUMANN </w:t>
      </w:r>
      <w:r w:rsidR="005F3138" w:rsidRPr="007D2788">
        <w:rPr>
          <w:rFonts w:ascii="Verdana" w:hAnsi="Verdana" w:cs="Arial"/>
          <w:color w:val="000000"/>
          <w:sz w:val="24"/>
          <w:szCs w:val="24"/>
          <w:lang w:val="fr-FR"/>
        </w:rPr>
        <w:t>M.L.I contre</w:t>
      </w:r>
      <w:r w:rsidR="0012712E" w:rsidRPr="007D2788">
        <w:rPr>
          <w:rFonts w:ascii="Verdana" w:hAnsi="Verdana" w:cs="Arial"/>
          <w:color w:val="000000"/>
          <w:sz w:val="24"/>
          <w:szCs w:val="24"/>
          <w:lang w:val="fr-FR"/>
        </w:rPr>
        <w:t xml:space="preserve"> Le District Council de</w:t>
      </w:r>
      <w:r w:rsidR="00226FB5" w:rsidRPr="007D2788">
        <w:rPr>
          <w:rFonts w:ascii="Verdana" w:hAnsi="Verdana" w:cs="Arial"/>
          <w:color w:val="000000"/>
          <w:sz w:val="24"/>
          <w:szCs w:val="24"/>
          <w:lang w:val="fr-FR"/>
        </w:rPr>
        <w:t xml:space="preserve"> Rivière du Rempart </w:t>
      </w:r>
      <w:r w:rsidR="005D22D0" w:rsidRPr="007D2788">
        <w:rPr>
          <w:rFonts w:ascii="Verdana" w:hAnsi="Verdana" w:cs="Arial"/>
          <w:color w:val="000000"/>
          <w:sz w:val="24"/>
          <w:szCs w:val="24"/>
          <w:lang w:val="fr-FR"/>
        </w:rPr>
        <w:t xml:space="preserve">en </w:t>
      </w:r>
      <w:r w:rsidR="005D22D0" w:rsidRPr="007D2788">
        <w:rPr>
          <w:rFonts w:ascii="Verdana" w:hAnsi="Verdana" w:cs="Arial"/>
          <w:color w:val="000000"/>
          <w:sz w:val="24"/>
          <w:szCs w:val="24"/>
          <w:lang w:val="fr-FR"/>
        </w:rPr>
        <w:lastRenderedPageBreak/>
        <w:t xml:space="preserve">Novembre 2019 </w:t>
      </w:r>
      <w:r w:rsidR="00226FB5" w:rsidRPr="007D2788">
        <w:rPr>
          <w:rFonts w:ascii="Verdana" w:hAnsi="Verdana" w:cs="Arial"/>
          <w:color w:val="000000"/>
          <w:sz w:val="24"/>
          <w:szCs w:val="24"/>
          <w:lang w:val="fr-FR"/>
        </w:rPr>
        <w:t>o</w:t>
      </w:r>
      <w:r w:rsidRPr="007D2788">
        <w:rPr>
          <w:rFonts w:ascii="Verdana" w:hAnsi="Verdana" w:cs="Arial"/>
          <w:color w:val="000000"/>
          <w:sz w:val="24"/>
          <w:szCs w:val="24"/>
          <w:lang w:val="fr-FR"/>
        </w:rPr>
        <w:t>ù</w:t>
      </w:r>
      <w:r w:rsidR="00226FB5" w:rsidRPr="007D2788">
        <w:rPr>
          <w:rFonts w:ascii="Verdana" w:hAnsi="Verdana" w:cs="Arial"/>
          <w:color w:val="000000"/>
          <w:sz w:val="24"/>
          <w:szCs w:val="24"/>
          <w:lang w:val="fr-FR"/>
        </w:rPr>
        <w:t xml:space="preserve"> </w:t>
      </w:r>
      <w:r w:rsidR="0012712E" w:rsidRPr="007D2788">
        <w:rPr>
          <w:rFonts w:ascii="Verdana" w:hAnsi="Verdana" w:cs="Arial"/>
          <w:color w:val="000000"/>
          <w:sz w:val="24"/>
          <w:szCs w:val="24"/>
          <w:lang w:val="fr-FR"/>
        </w:rPr>
        <w:t>une définition du terme ‘ag</w:t>
      </w:r>
      <w:r w:rsidR="00226FB5" w:rsidRPr="007D2788">
        <w:rPr>
          <w:rFonts w:ascii="Verdana" w:hAnsi="Verdana" w:cs="Arial"/>
          <w:color w:val="000000"/>
          <w:sz w:val="24"/>
          <w:szCs w:val="24"/>
          <w:lang w:val="fr-FR"/>
        </w:rPr>
        <w:t xml:space="preserve">grieved party’ a été précisée </w:t>
      </w:r>
      <w:r w:rsidR="0012712E" w:rsidRPr="007D2788">
        <w:rPr>
          <w:rFonts w:ascii="Verdana" w:hAnsi="Verdana" w:cs="Arial"/>
          <w:color w:val="000000"/>
          <w:sz w:val="24"/>
          <w:szCs w:val="24"/>
          <w:lang w:val="fr-FR"/>
        </w:rPr>
        <w:t xml:space="preserve">dans le </w:t>
      </w:r>
      <w:r w:rsidR="0012712E" w:rsidRPr="007D2788">
        <w:rPr>
          <w:rFonts w:ascii="Verdana" w:hAnsi="Verdana" w:cs="Arial"/>
          <w:i/>
          <w:color w:val="000000"/>
          <w:sz w:val="24"/>
          <w:szCs w:val="24"/>
          <w:lang w:val="fr-FR"/>
        </w:rPr>
        <w:t>Local Government Act</w:t>
      </w:r>
      <w:r w:rsidR="00C91029" w:rsidRPr="007D2788">
        <w:rPr>
          <w:rFonts w:ascii="Verdana" w:hAnsi="Verdana" w:cs="Arial"/>
          <w:color w:val="000000"/>
          <w:sz w:val="24"/>
          <w:szCs w:val="24"/>
          <w:lang w:val="fr-FR"/>
        </w:rPr>
        <w:t xml:space="preserve"> comme </w:t>
      </w:r>
      <w:r w:rsidR="005F3138" w:rsidRPr="007D2788">
        <w:rPr>
          <w:rFonts w:ascii="Verdana" w:hAnsi="Verdana" w:cs="Arial"/>
          <w:color w:val="000000"/>
          <w:sz w:val="24"/>
          <w:szCs w:val="24"/>
          <w:lang w:val="fr-FR"/>
        </w:rPr>
        <w:t>suit :</w:t>
      </w:r>
      <w:r w:rsidR="00C91029" w:rsidRPr="007D2788">
        <w:rPr>
          <w:rFonts w:ascii="Verdana" w:hAnsi="Verdana" w:cs="Arial"/>
          <w:color w:val="000000"/>
          <w:sz w:val="24"/>
          <w:szCs w:val="24"/>
          <w:lang w:val="fr-FR"/>
        </w:rPr>
        <w:t xml:space="preserve"> </w:t>
      </w:r>
    </w:p>
    <w:p w:rsidR="00C91029" w:rsidRPr="009E263C" w:rsidRDefault="00C91029" w:rsidP="00C91029">
      <w:pPr>
        <w:jc w:val="both"/>
        <w:rPr>
          <w:rFonts w:ascii="Verdana" w:hAnsi="Verdana" w:cs="Times New Roman"/>
          <w:sz w:val="24"/>
          <w:szCs w:val="24"/>
        </w:rPr>
      </w:pPr>
      <w:r w:rsidRPr="009E263C">
        <w:rPr>
          <w:rFonts w:ascii="Verdana" w:hAnsi="Verdana" w:cs="Times New Roman"/>
          <w:i/>
          <w:sz w:val="24"/>
          <w:szCs w:val="24"/>
        </w:rPr>
        <w:t>‘An aggrieved party is the one who has been notified that his application has not been approved. The legislator has not provided for any other person to have the possibility of challenging the granting of a BLUP to an applicant before the Tribunal</w:t>
      </w:r>
      <w:r w:rsidRPr="009E263C">
        <w:rPr>
          <w:rFonts w:ascii="Verdana" w:hAnsi="Verdana" w:cs="Times New Roman"/>
          <w:sz w:val="24"/>
          <w:szCs w:val="24"/>
        </w:rPr>
        <w:t xml:space="preserve">.’ </w:t>
      </w:r>
    </w:p>
    <w:p w:rsidR="00C91029" w:rsidRDefault="005F3138" w:rsidP="00C91029">
      <w:pPr>
        <w:jc w:val="both"/>
        <w:rPr>
          <w:rFonts w:ascii="Verdana" w:hAnsi="Verdana" w:cs="Times New Roman"/>
          <w:sz w:val="24"/>
          <w:szCs w:val="24"/>
        </w:rPr>
      </w:pPr>
      <w:r w:rsidRPr="009E263C">
        <w:rPr>
          <w:rFonts w:ascii="Verdana" w:hAnsi="Verdana" w:cs="Times New Roman"/>
          <w:sz w:val="24"/>
          <w:szCs w:val="24"/>
        </w:rPr>
        <w:t>‘Any</w:t>
      </w:r>
      <w:r w:rsidR="00C91029" w:rsidRPr="009E263C">
        <w:rPr>
          <w:rFonts w:ascii="Verdana" w:hAnsi="Verdana" w:cs="Times New Roman"/>
          <w:i/>
          <w:sz w:val="24"/>
          <w:szCs w:val="24"/>
        </w:rPr>
        <w:t xml:space="preserve"> other person, who feels aggrieved by the granting of a BLUP may have another recourse before another Court but not before the Tribunal which does not have the jurisdiction to consider and determine complaints from persons who are not aggrieved persons within the definition of the Local Government Act 2011.</w:t>
      </w:r>
      <w:r w:rsidR="00C91029" w:rsidRPr="009E263C">
        <w:rPr>
          <w:rFonts w:ascii="Verdana" w:hAnsi="Verdana" w:cs="Times New Roman"/>
          <w:sz w:val="24"/>
          <w:szCs w:val="24"/>
        </w:rPr>
        <w:t xml:space="preserve">’ </w:t>
      </w:r>
    </w:p>
    <w:p w:rsidR="005F3138" w:rsidRPr="007A64B4" w:rsidRDefault="00FB0E2F" w:rsidP="005F3138">
      <w:pPr>
        <w:jc w:val="both"/>
        <w:rPr>
          <w:rFonts w:ascii="Verdana" w:hAnsi="Verdana" w:cs="Times New Roman"/>
          <w:sz w:val="24"/>
          <w:szCs w:val="24"/>
          <w:lang w:val="fr-FR"/>
        </w:rPr>
      </w:pPr>
      <w:r w:rsidRPr="007A64B4">
        <w:rPr>
          <w:rFonts w:ascii="Verdana" w:hAnsi="Verdana" w:cs="Times New Roman"/>
          <w:sz w:val="24"/>
          <w:szCs w:val="24"/>
          <w:lang w:val="fr-FR"/>
        </w:rPr>
        <w:t>L</w:t>
      </w:r>
      <w:r w:rsidR="007C6E9B" w:rsidRPr="007A64B4">
        <w:rPr>
          <w:rFonts w:ascii="Verdana" w:hAnsi="Verdana" w:cs="Times New Roman"/>
          <w:sz w:val="24"/>
          <w:szCs w:val="24"/>
          <w:lang w:val="fr-FR"/>
        </w:rPr>
        <w:t xml:space="preserve">’ </w:t>
      </w:r>
      <w:r w:rsidR="005F3138" w:rsidRPr="007A64B4">
        <w:rPr>
          <w:rFonts w:ascii="Verdana" w:hAnsi="Verdana" w:cs="Times New Roman"/>
          <w:i/>
          <w:sz w:val="24"/>
          <w:szCs w:val="24"/>
          <w:lang w:val="fr-FR"/>
        </w:rPr>
        <w:t>Environment and Land Use Appeal Tribunal</w:t>
      </w:r>
      <w:r w:rsidR="005F3138" w:rsidRPr="007A64B4">
        <w:rPr>
          <w:rFonts w:ascii="Verdana" w:hAnsi="Verdana" w:cs="Times New Roman"/>
          <w:sz w:val="24"/>
          <w:szCs w:val="24"/>
          <w:lang w:val="fr-FR"/>
        </w:rPr>
        <w:t xml:space="preserve"> </w:t>
      </w:r>
      <w:r w:rsidR="0051658B" w:rsidRPr="007A64B4">
        <w:rPr>
          <w:rFonts w:ascii="Verdana" w:hAnsi="Verdana" w:cs="Times New Roman"/>
          <w:i/>
          <w:sz w:val="24"/>
          <w:szCs w:val="24"/>
          <w:lang w:val="fr-FR"/>
        </w:rPr>
        <w:t>Act</w:t>
      </w:r>
      <w:r w:rsidR="0051658B" w:rsidRPr="007A64B4">
        <w:rPr>
          <w:rFonts w:ascii="Verdana" w:hAnsi="Verdana" w:cs="Times New Roman"/>
          <w:sz w:val="24"/>
          <w:szCs w:val="24"/>
          <w:lang w:val="fr-FR"/>
        </w:rPr>
        <w:t xml:space="preserve"> </w:t>
      </w:r>
      <w:r w:rsidR="005F3138" w:rsidRPr="007A64B4">
        <w:rPr>
          <w:rFonts w:ascii="Verdana" w:hAnsi="Verdana" w:cs="Times New Roman"/>
          <w:sz w:val="24"/>
          <w:szCs w:val="24"/>
          <w:lang w:val="fr-FR"/>
        </w:rPr>
        <w:t>a également été amendé afin d’instaurer un délai de 15 jours pour que le Tribunal puisse déterminer et examiner si un appel est vraiment sérieux ou ‘</w:t>
      </w:r>
      <w:r w:rsidR="005F3138" w:rsidRPr="007A64B4">
        <w:rPr>
          <w:rFonts w:ascii="Verdana" w:hAnsi="Verdana" w:cs="Times New Roman"/>
          <w:i/>
          <w:sz w:val="24"/>
          <w:szCs w:val="24"/>
          <w:lang w:val="fr-FR"/>
        </w:rPr>
        <w:t>frivolous</w:t>
      </w:r>
      <w:r w:rsidR="005F3138" w:rsidRPr="007A64B4">
        <w:rPr>
          <w:rFonts w:ascii="Verdana" w:hAnsi="Verdana" w:cs="Times New Roman"/>
          <w:sz w:val="24"/>
          <w:szCs w:val="24"/>
          <w:lang w:val="fr-FR"/>
        </w:rPr>
        <w:t xml:space="preserve">’. </w:t>
      </w:r>
      <w:r w:rsidR="0051658B" w:rsidRPr="007A64B4">
        <w:rPr>
          <w:rFonts w:ascii="Verdana" w:hAnsi="Verdana" w:cs="Times New Roman"/>
          <w:sz w:val="24"/>
          <w:szCs w:val="24"/>
          <w:lang w:val="fr-FR"/>
        </w:rPr>
        <w:t>Ce délai arrive après la période de 21 jours accordés</w:t>
      </w:r>
      <w:r w:rsidR="007C6E9B" w:rsidRPr="007A64B4">
        <w:rPr>
          <w:rFonts w:ascii="Verdana" w:hAnsi="Verdana" w:cs="Times New Roman"/>
          <w:sz w:val="24"/>
          <w:szCs w:val="24"/>
          <w:lang w:val="fr-FR"/>
        </w:rPr>
        <w:t xml:space="preserve"> en vertu de</w:t>
      </w:r>
      <w:r w:rsidR="00E14651" w:rsidRPr="007A64B4">
        <w:rPr>
          <w:rFonts w:ascii="Verdana" w:hAnsi="Verdana" w:cs="Times New Roman"/>
          <w:sz w:val="24"/>
          <w:szCs w:val="24"/>
          <w:lang w:val="fr-FR"/>
        </w:rPr>
        <w:t xml:space="preserve"> la section 5, sous-section 4 (ad) et (ae)</w:t>
      </w:r>
      <w:r w:rsidR="0051658B" w:rsidRPr="007A64B4">
        <w:rPr>
          <w:rFonts w:ascii="Verdana" w:hAnsi="Verdana" w:cs="Times New Roman"/>
          <w:sz w:val="24"/>
          <w:szCs w:val="24"/>
          <w:lang w:val="fr-FR"/>
        </w:rPr>
        <w:t xml:space="preserve"> </w:t>
      </w:r>
      <w:r w:rsidR="007C6E9B" w:rsidRPr="007A64B4">
        <w:rPr>
          <w:rFonts w:ascii="Verdana" w:hAnsi="Verdana" w:cs="Times New Roman"/>
          <w:sz w:val="24"/>
          <w:szCs w:val="24"/>
          <w:lang w:val="fr-FR"/>
        </w:rPr>
        <w:t>de l’</w:t>
      </w:r>
      <w:r w:rsidR="00E14651" w:rsidRPr="007A64B4">
        <w:rPr>
          <w:rFonts w:ascii="Verdana" w:hAnsi="Verdana" w:cs="Times New Roman"/>
          <w:i/>
          <w:sz w:val="24"/>
          <w:szCs w:val="24"/>
          <w:lang w:val="fr-FR"/>
        </w:rPr>
        <w:t>Environment and Land Use Tribunal Act</w:t>
      </w:r>
      <w:r w:rsidR="00E14651" w:rsidRPr="007A64B4">
        <w:rPr>
          <w:rFonts w:ascii="Verdana" w:hAnsi="Verdana" w:cs="Times New Roman"/>
          <w:sz w:val="24"/>
          <w:szCs w:val="24"/>
          <w:lang w:val="fr-FR"/>
        </w:rPr>
        <w:t xml:space="preserve">. </w:t>
      </w:r>
    </w:p>
    <w:p w:rsidR="007D2788" w:rsidRDefault="00583E46" w:rsidP="007D2788">
      <w:pPr>
        <w:ind w:firstLine="360"/>
        <w:jc w:val="both"/>
        <w:rPr>
          <w:rFonts w:ascii="Verdana" w:hAnsi="Verdana" w:cs="Arial"/>
          <w:color w:val="000000"/>
          <w:sz w:val="24"/>
          <w:szCs w:val="24"/>
          <w:lang w:val="fr-FR"/>
        </w:rPr>
      </w:pPr>
      <w:r w:rsidRPr="007D2788">
        <w:rPr>
          <w:rFonts w:ascii="Verdana" w:hAnsi="Verdana" w:cs="Arial"/>
          <w:color w:val="000000"/>
          <w:sz w:val="24"/>
          <w:szCs w:val="24"/>
          <w:lang w:val="fr-FR"/>
        </w:rPr>
        <w:t xml:space="preserve">En ce qui concerne les procédures d’appel </w:t>
      </w:r>
      <w:r w:rsidR="00CF6CB0" w:rsidRPr="007D2788">
        <w:rPr>
          <w:rFonts w:ascii="Verdana" w:hAnsi="Verdana" w:cs="Arial"/>
          <w:color w:val="000000"/>
          <w:sz w:val="24"/>
          <w:szCs w:val="24"/>
          <w:lang w:val="fr-FR"/>
        </w:rPr>
        <w:t>pour les projets qui requièrent une licence EIA</w:t>
      </w:r>
      <w:r w:rsidRPr="007D2788">
        <w:rPr>
          <w:rFonts w:ascii="Verdana" w:hAnsi="Verdana" w:cs="Arial"/>
          <w:color w:val="000000"/>
          <w:sz w:val="24"/>
          <w:szCs w:val="24"/>
          <w:lang w:val="fr-FR"/>
        </w:rPr>
        <w:t xml:space="preserve">, </w:t>
      </w:r>
      <w:r w:rsidR="007D2788">
        <w:rPr>
          <w:rFonts w:ascii="Verdana" w:hAnsi="Verdana" w:cs="Arial"/>
          <w:color w:val="000000"/>
          <w:sz w:val="24"/>
          <w:szCs w:val="24"/>
          <w:lang w:val="fr-FR"/>
        </w:rPr>
        <w:t xml:space="preserve">la section 54 de </w:t>
      </w:r>
      <w:r w:rsidR="007D2788" w:rsidRPr="005F3138">
        <w:rPr>
          <w:rFonts w:ascii="Verdana" w:hAnsi="Verdana" w:cs="Arial"/>
          <w:i/>
          <w:color w:val="000000"/>
          <w:sz w:val="24"/>
          <w:szCs w:val="24"/>
          <w:lang w:val="fr-FR"/>
        </w:rPr>
        <w:t>l’Environment Protection Act</w:t>
      </w:r>
      <w:r w:rsidR="007D2788">
        <w:rPr>
          <w:rFonts w:ascii="Verdana" w:hAnsi="Verdana" w:cs="Arial"/>
          <w:color w:val="000000"/>
          <w:sz w:val="24"/>
          <w:szCs w:val="24"/>
          <w:lang w:val="fr-FR"/>
        </w:rPr>
        <w:t xml:space="preserve"> </w:t>
      </w:r>
      <w:r w:rsidR="00062283">
        <w:rPr>
          <w:rFonts w:ascii="Verdana" w:hAnsi="Verdana" w:cs="Arial"/>
          <w:color w:val="000000"/>
          <w:sz w:val="24"/>
          <w:szCs w:val="24"/>
          <w:lang w:val="fr-FR"/>
        </w:rPr>
        <w:t>préconise</w:t>
      </w:r>
      <w:r w:rsidR="007D2788">
        <w:rPr>
          <w:rFonts w:ascii="Verdana" w:hAnsi="Verdana" w:cs="Arial"/>
          <w:color w:val="000000"/>
          <w:sz w:val="24"/>
          <w:szCs w:val="24"/>
          <w:lang w:val="fr-FR"/>
        </w:rPr>
        <w:t xml:space="preserve"> que</w:t>
      </w:r>
    </w:p>
    <w:p w:rsidR="004F10AB" w:rsidRPr="00062283" w:rsidRDefault="007D2788" w:rsidP="007D2788">
      <w:pPr>
        <w:jc w:val="both"/>
        <w:rPr>
          <w:rFonts w:ascii="Verdana" w:hAnsi="Verdana" w:cs="Arial"/>
          <w:i/>
          <w:color w:val="000000"/>
          <w:sz w:val="24"/>
          <w:szCs w:val="24"/>
          <w:lang w:val="en-GB"/>
        </w:rPr>
      </w:pPr>
      <w:r w:rsidRPr="004F10AB">
        <w:rPr>
          <w:rFonts w:ascii="Verdana" w:hAnsi="Verdana" w:cs="Arial"/>
          <w:color w:val="000000"/>
          <w:sz w:val="24"/>
          <w:szCs w:val="24"/>
          <w:lang w:val="en-GB"/>
        </w:rPr>
        <w:t>‘</w:t>
      </w:r>
      <w:r w:rsidR="004F10AB" w:rsidRPr="00062283">
        <w:rPr>
          <w:rFonts w:ascii="Verdana" w:hAnsi="Verdana" w:cs="Arial"/>
          <w:i/>
          <w:color w:val="000000"/>
          <w:sz w:val="24"/>
          <w:szCs w:val="24"/>
          <w:lang w:val="en-GB"/>
        </w:rPr>
        <w:t>Where the Minister has decided to issue an EIA licence, any person who –</w:t>
      </w:r>
    </w:p>
    <w:p w:rsidR="004F10AB" w:rsidRPr="00062283" w:rsidRDefault="004F10AB" w:rsidP="004F10AB">
      <w:pPr>
        <w:pStyle w:val="ListParagraph"/>
        <w:numPr>
          <w:ilvl w:val="0"/>
          <w:numId w:val="4"/>
        </w:numPr>
        <w:jc w:val="both"/>
        <w:rPr>
          <w:rFonts w:ascii="Verdana" w:hAnsi="Verdana" w:cs="Arial"/>
          <w:i/>
          <w:color w:val="000000"/>
          <w:sz w:val="24"/>
          <w:szCs w:val="24"/>
          <w:lang w:val="en-GB"/>
        </w:rPr>
      </w:pPr>
      <w:r w:rsidRPr="00062283">
        <w:rPr>
          <w:rFonts w:ascii="Verdana" w:hAnsi="Verdana" w:cs="Arial"/>
          <w:i/>
          <w:color w:val="000000"/>
          <w:sz w:val="24"/>
          <w:szCs w:val="24"/>
          <w:lang w:val="en-GB"/>
        </w:rPr>
        <w:t xml:space="preserve">is aggrieved by the </w:t>
      </w:r>
      <w:r w:rsidR="00FE2BFD" w:rsidRPr="00062283">
        <w:rPr>
          <w:rFonts w:ascii="Verdana" w:hAnsi="Verdana" w:cs="Arial"/>
          <w:i/>
          <w:color w:val="000000"/>
          <w:sz w:val="24"/>
          <w:szCs w:val="24"/>
          <w:lang w:val="en-GB"/>
        </w:rPr>
        <w:t>decision;</w:t>
      </w:r>
      <w:r w:rsidRPr="00062283">
        <w:rPr>
          <w:rFonts w:ascii="Verdana" w:hAnsi="Verdana" w:cs="Arial"/>
          <w:i/>
          <w:color w:val="000000"/>
          <w:sz w:val="24"/>
          <w:szCs w:val="24"/>
          <w:lang w:val="en-GB"/>
        </w:rPr>
        <w:t xml:space="preserve"> and</w:t>
      </w:r>
    </w:p>
    <w:p w:rsidR="007D2788" w:rsidRPr="00062283" w:rsidRDefault="004F10AB" w:rsidP="004F10AB">
      <w:pPr>
        <w:pStyle w:val="ListParagraph"/>
        <w:numPr>
          <w:ilvl w:val="0"/>
          <w:numId w:val="4"/>
        </w:numPr>
        <w:jc w:val="both"/>
        <w:rPr>
          <w:rFonts w:ascii="Verdana" w:hAnsi="Verdana" w:cs="Arial"/>
          <w:i/>
          <w:color w:val="000000"/>
          <w:sz w:val="24"/>
          <w:szCs w:val="24"/>
          <w:lang w:val="en-GB"/>
        </w:rPr>
      </w:pPr>
      <w:r w:rsidRPr="00062283">
        <w:rPr>
          <w:rFonts w:ascii="Verdana" w:hAnsi="Verdana" w:cs="Arial"/>
          <w:i/>
          <w:color w:val="000000"/>
          <w:sz w:val="24"/>
          <w:szCs w:val="24"/>
          <w:lang w:val="en-GB"/>
        </w:rPr>
        <w:t>is able to show that the decision is likely to cause him undue prejudice, may appeal against the decision of the tribunal</w:t>
      </w:r>
      <w:r w:rsidR="007D2788" w:rsidRPr="00062283">
        <w:rPr>
          <w:rFonts w:ascii="Verdana" w:hAnsi="Verdana" w:cs="Arial"/>
          <w:i/>
          <w:color w:val="000000"/>
          <w:sz w:val="24"/>
          <w:szCs w:val="24"/>
          <w:lang w:val="en-GB"/>
        </w:rPr>
        <w:t>’</w:t>
      </w:r>
    </w:p>
    <w:p w:rsidR="007D2788" w:rsidRDefault="004F10AB" w:rsidP="004F10AB">
      <w:pPr>
        <w:jc w:val="both"/>
        <w:rPr>
          <w:rFonts w:ascii="Verdana" w:hAnsi="Verdana" w:cs="Times New Roman"/>
          <w:color w:val="000000" w:themeColor="text1"/>
          <w:sz w:val="24"/>
          <w:szCs w:val="24"/>
          <w:lang w:val="fr-FR"/>
        </w:rPr>
      </w:pPr>
      <w:r>
        <w:rPr>
          <w:rFonts w:ascii="Verdana" w:hAnsi="Verdana" w:cs="Arial"/>
          <w:color w:val="000000"/>
          <w:sz w:val="24"/>
          <w:szCs w:val="24"/>
          <w:lang w:val="fr-FR"/>
        </w:rPr>
        <w:t>N</w:t>
      </w:r>
      <w:r w:rsidR="00583E46" w:rsidRPr="007D2788">
        <w:rPr>
          <w:rFonts w:ascii="Verdana" w:hAnsi="Verdana" w:cs="Arial"/>
          <w:color w:val="000000"/>
          <w:sz w:val="24"/>
          <w:szCs w:val="24"/>
          <w:lang w:val="fr-FR"/>
        </w:rPr>
        <w:t>ous tenons à préciser qu</w:t>
      </w:r>
      <w:r>
        <w:rPr>
          <w:rFonts w:ascii="Verdana" w:hAnsi="Verdana" w:cs="Arial"/>
          <w:color w:val="000000"/>
          <w:sz w:val="24"/>
          <w:szCs w:val="24"/>
          <w:lang w:val="fr-FR"/>
        </w:rPr>
        <w:t xml:space="preserve">e cette section de l’EPA </w:t>
      </w:r>
      <w:r w:rsidR="007C6E9B">
        <w:rPr>
          <w:rFonts w:ascii="Verdana" w:hAnsi="Verdana" w:cs="Arial"/>
          <w:color w:val="000000"/>
          <w:sz w:val="24"/>
          <w:szCs w:val="24"/>
          <w:lang w:val="fr-FR"/>
        </w:rPr>
        <w:t>est maintenue</w:t>
      </w:r>
      <w:r>
        <w:rPr>
          <w:rFonts w:ascii="Verdana" w:hAnsi="Verdana" w:cs="Arial"/>
          <w:color w:val="000000"/>
          <w:sz w:val="24"/>
          <w:szCs w:val="24"/>
          <w:lang w:val="fr-FR"/>
        </w:rPr>
        <w:t>,</w:t>
      </w:r>
      <w:r w:rsidR="003C3A74" w:rsidRPr="007D2788">
        <w:rPr>
          <w:rFonts w:ascii="Verdana" w:hAnsi="Verdana" w:cs="Arial"/>
          <w:color w:val="000000"/>
          <w:sz w:val="24"/>
          <w:szCs w:val="24"/>
          <w:lang w:val="fr-FR"/>
        </w:rPr>
        <w:t xml:space="preserve"> </w:t>
      </w:r>
      <w:r w:rsidR="00B3461E" w:rsidRPr="007D2788">
        <w:rPr>
          <w:rFonts w:ascii="Verdana" w:hAnsi="Verdana" w:cs="Arial"/>
          <w:color w:val="000000"/>
          <w:sz w:val="24"/>
          <w:szCs w:val="24"/>
          <w:lang w:val="fr-FR"/>
        </w:rPr>
        <w:t>mais</w:t>
      </w:r>
      <w:r w:rsidR="007C6E9B">
        <w:rPr>
          <w:rFonts w:ascii="Verdana" w:hAnsi="Verdana" w:cs="Arial"/>
          <w:color w:val="000000"/>
          <w:sz w:val="24"/>
          <w:szCs w:val="24"/>
          <w:lang w:val="fr-FR"/>
        </w:rPr>
        <w:t xml:space="preserve"> l’amendement proposé permettra </w:t>
      </w:r>
      <w:r w:rsidR="003C3A74" w:rsidRPr="007D2788">
        <w:rPr>
          <w:rFonts w:ascii="Verdana" w:hAnsi="Verdana" w:cs="Times New Roman"/>
          <w:color w:val="000000" w:themeColor="text1"/>
          <w:sz w:val="24"/>
          <w:szCs w:val="24"/>
          <w:lang w:val="fr-FR"/>
        </w:rPr>
        <w:t xml:space="preserve">aux personnes qui ont participé à la procédure de consultation publique </w:t>
      </w:r>
      <w:r w:rsidR="007C6E9B">
        <w:rPr>
          <w:rFonts w:ascii="Verdana" w:hAnsi="Verdana" w:cs="Times New Roman"/>
          <w:color w:val="000000" w:themeColor="text1"/>
          <w:sz w:val="24"/>
          <w:szCs w:val="24"/>
          <w:lang w:val="fr-FR"/>
        </w:rPr>
        <w:t>du mécanisme EIA de faire appel s’il y a lieu.</w:t>
      </w:r>
      <w:r w:rsidR="003C3A74" w:rsidRPr="007D2788">
        <w:rPr>
          <w:rFonts w:ascii="Verdana" w:hAnsi="Verdana" w:cs="Times New Roman"/>
          <w:color w:val="000000" w:themeColor="text1"/>
          <w:sz w:val="24"/>
          <w:szCs w:val="24"/>
          <w:lang w:val="fr-FR"/>
        </w:rPr>
        <w:t xml:space="preserve"> </w:t>
      </w:r>
    </w:p>
    <w:p w:rsidR="002B3454" w:rsidRDefault="00193222" w:rsidP="009247DF">
      <w:pPr>
        <w:ind w:firstLine="360"/>
        <w:jc w:val="both"/>
        <w:rPr>
          <w:rFonts w:ascii="Verdana" w:hAnsi="Verdana"/>
          <w:sz w:val="24"/>
          <w:szCs w:val="24"/>
          <w:lang w:val="fr-FR"/>
        </w:rPr>
      </w:pPr>
      <w:r w:rsidRPr="007D2788">
        <w:rPr>
          <w:rFonts w:ascii="Verdana" w:hAnsi="Verdana" w:cs="Times New Roman"/>
          <w:color w:val="000000" w:themeColor="text1"/>
          <w:sz w:val="24"/>
          <w:szCs w:val="24"/>
          <w:lang w:val="fr-FR"/>
        </w:rPr>
        <w:t xml:space="preserve"> </w:t>
      </w:r>
      <w:r w:rsidR="00CF6CB0" w:rsidRPr="007D2788">
        <w:rPr>
          <w:rFonts w:ascii="Verdana" w:hAnsi="Verdana"/>
          <w:sz w:val="24"/>
          <w:szCs w:val="24"/>
          <w:lang w:val="fr-FR"/>
        </w:rPr>
        <w:t xml:space="preserve">En ce qui concerne le rapport </w:t>
      </w:r>
      <w:r w:rsidR="0024234B" w:rsidRPr="007D2788">
        <w:rPr>
          <w:rFonts w:ascii="Verdana" w:hAnsi="Verdana"/>
          <w:sz w:val="24"/>
          <w:szCs w:val="24"/>
          <w:lang w:val="fr-FR"/>
        </w:rPr>
        <w:t>intérimaire</w:t>
      </w:r>
      <w:r w:rsidR="00CF6CB0" w:rsidRPr="007D2788">
        <w:rPr>
          <w:rFonts w:ascii="Verdana" w:hAnsi="Verdana"/>
          <w:sz w:val="24"/>
          <w:szCs w:val="24"/>
          <w:lang w:val="fr-FR"/>
        </w:rPr>
        <w:t xml:space="preserve"> de</w:t>
      </w:r>
      <w:r w:rsidR="00D721BC" w:rsidRPr="007D2788">
        <w:rPr>
          <w:rFonts w:ascii="Verdana" w:hAnsi="Verdana"/>
          <w:sz w:val="24"/>
          <w:szCs w:val="24"/>
          <w:lang w:val="fr-FR"/>
        </w:rPr>
        <w:t xml:space="preserve"> la</w:t>
      </w:r>
      <w:r w:rsidR="00CF6CB0" w:rsidRPr="007D2788">
        <w:rPr>
          <w:rFonts w:ascii="Verdana" w:hAnsi="Verdana"/>
          <w:sz w:val="24"/>
          <w:szCs w:val="24"/>
          <w:lang w:val="fr-FR"/>
        </w:rPr>
        <w:t xml:space="preserve"> SECU du PNUD, </w:t>
      </w:r>
      <w:r w:rsidR="002B3454" w:rsidRPr="007D2788">
        <w:rPr>
          <w:rFonts w:ascii="Verdana" w:hAnsi="Verdana"/>
          <w:sz w:val="24"/>
          <w:szCs w:val="24"/>
          <w:lang w:val="fr-FR"/>
        </w:rPr>
        <w:t>un comit</w:t>
      </w:r>
      <w:r w:rsidR="001B26FC" w:rsidRPr="007D2788">
        <w:rPr>
          <w:rFonts w:ascii="Verdana" w:hAnsi="Verdana"/>
          <w:sz w:val="24"/>
          <w:szCs w:val="24"/>
          <w:lang w:val="fr-FR"/>
        </w:rPr>
        <w:t>é</w:t>
      </w:r>
      <w:r w:rsidR="00CF6CB0" w:rsidRPr="007D2788">
        <w:rPr>
          <w:rFonts w:ascii="Verdana" w:hAnsi="Verdana"/>
          <w:sz w:val="24"/>
          <w:szCs w:val="24"/>
          <w:lang w:val="fr-FR"/>
        </w:rPr>
        <w:t xml:space="preserve"> </w:t>
      </w:r>
      <w:r w:rsidR="00062283" w:rsidRPr="007D2788">
        <w:rPr>
          <w:rFonts w:ascii="Verdana" w:hAnsi="Verdana"/>
          <w:sz w:val="24"/>
          <w:szCs w:val="24"/>
          <w:lang w:val="fr-FR"/>
        </w:rPr>
        <w:t>interministériel</w:t>
      </w:r>
      <w:r w:rsidR="00CF6CB0" w:rsidRPr="007D2788">
        <w:rPr>
          <w:rFonts w:ascii="Verdana" w:hAnsi="Verdana"/>
          <w:sz w:val="24"/>
          <w:szCs w:val="24"/>
          <w:lang w:val="fr-FR"/>
        </w:rPr>
        <w:t xml:space="preserve"> a été institué et </w:t>
      </w:r>
      <w:r w:rsidR="002B3454" w:rsidRPr="007D2788">
        <w:rPr>
          <w:rFonts w:ascii="Verdana" w:hAnsi="Verdana"/>
          <w:sz w:val="24"/>
          <w:szCs w:val="24"/>
          <w:lang w:val="fr-FR"/>
        </w:rPr>
        <w:t xml:space="preserve">est </w:t>
      </w:r>
      <w:r w:rsidR="004F10AB" w:rsidRPr="007D2788">
        <w:rPr>
          <w:rFonts w:ascii="Verdana" w:hAnsi="Verdana"/>
          <w:sz w:val="24"/>
          <w:szCs w:val="24"/>
          <w:lang w:val="fr-FR"/>
        </w:rPr>
        <w:t>en train</w:t>
      </w:r>
      <w:r w:rsidR="002B3454" w:rsidRPr="007D2788">
        <w:rPr>
          <w:rFonts w:ascii="Verdana" w:hAnsi="Verdana"/>
          <w:sz w:val="24"/>
          <w:szCs w:val="24"/>
          <w:lang w:val="fr-FR"/>
        </w:rPr>
        <w:t xml:space="preserve"> d’évaluer les propositio</w:t>
      </w:r>
      <w:r w:rsidR="00CF6CB0" w:rsidRPr="007D2788">
        <w:rPr>
          <w:rFonts w:ascii="Verdana" w:hAnsi="Verdana"/>
          <w:sz w:val="24"/>
          <w:szCs w:val="24"/>
          <w:lang w:val="fr-FR"/>
        </w:rPr>
        <w:t>ns faites</w:t>
      </w:r>
      <w:r w:rsidR="00FA1963" w:rsidRPr="007D2788">
        <w:rPr>
          <w:rFonts w:ascii="Verdana" w:hAnsi="Verdana"/>
          <w:sz w:val="24"/>
          <w:szCs w:val="24"/>
          <w:lang w:val="fr-FR"/>
        </w:rPr>
        <w:t xml:space="preserve">. Ce comité se positionnera par la suite sur la mise en application du rapport en fonction de la nouvelle politique du gouvernement </w:t>
      </w:r>
      <w:r w:rsidR="002B3454" w:rsidRPr="007D2788">
        <w:rPr>
          <w:rFonts w:ascii="Verdana" w:hAnsi="Verdana"/>
          <w:sz w:val="24"/>
          <w:szCs w:val="24"/>
          <w:lang w:val="fr-FR"/>
        </w:rPr>
        <w:t xml:space="preserve">pour une transition </w:t>
      </w:r>
      <w:r w:rsidR="00FA1963" w:rsidRPr="007D2788">
        <w:rPr>
          <w:rFonts w:ascii="Verdana" w:hAnsi="Verdana"/>
          <w:sz w:val="24"/>
          <w:szCs w:val="24"/>
          <w:lang w:val="fr-FR"/>
        </w:rPr>
        <w:t xml:space="preserve">écologique et un développement durable et inclusif. </w:t>
      </w:r>
    </w:p>
    <w:p w:rsidR="00E66138" w:rsidRPr="004F10AB" w:rsidRDefault="00EC2114" w:rsidP="0024234B">
      <w:pPr>
        <w:ind w:firstLine="360"/>
        <w:jc w:val="both"/>
        <w:rPr>
          <w:rFonts w:ascii="Verdana" w:eastAsia="Times New Roman" w:hAnsi="Verdana" w:cs="Times New Roman"/>
          <w:color w:val="000000"/>
          <w:sz w:val="24"/>
          <w:szCs w:val="24"/>
          <w:lang w:val="fr-FR"/>
        </w:rPr>
      </w:pPr>
      <w:r>
        <w:rPr>
          <w:rFonts w:ascii="Verdana" w:hAnsi="Verdana"/>
          <w:sz w:val="24"/>
          <w:szCs w:val="24"/>
          <w:lang w:val="fr-FR"/>
        </w:rPr>
        <w:t>Rappel</w:t>
      </w:r>
      <w:r w:rsidR="0024234B" w:rsidRPr="0024234B">
        <w:rPr>
          <w:rFonts w:ascii="Verdana" w:hAnsi="Verdana"/>
          <w:sz w:val="24"/>
          <w:szCs w:val="24"/>
          <w:lang w:val="fr-FR"/>
        </w:rPr>
        <w:t>ons aussi qu’une des composant</w:t>
      </w:r>
      <w:r w:rsidR="00C437D7">
        <w:rPr>
          <w:rFonts w:ascii="Verdana" w:hAnsi="Verdana"/>
          <w:sz w:val="24"/>
          <w:szCs w:val="24"/>
          <w:lang w:val="fr-FR"/>
        </w:rPr>
        <w:t>e</w:t>
      </w:r>
      <w:r w:rsidR="0024234B" w:rsidRPr="0024234B">
        <w:rPr>
          <w:rFonts w:ascii="Verdana" w:hAnsi="Verdana"/>
          <w:sz w:val="24"/>
          <w:szCs w:val="24"/>
          <w:lang w:val="fr-FR"/>
        </w:rPr>
        <w:t>s du projet “</w:t>
      </w:r>
      <w:r w:rsidR="0024234B" w:rsidRPr="00E452F8">
        <w:rPr>
          <w:rFonts w:ascii="Verdana" w:hAnsi="Verdana"/>
          <w:i/>
          <w:sz w:val="24"/>
          <w:szCs w:val="24"/>
          <w:lang w:val="fr-FR"/>
        </w:rPr>
        <w:t>Mainstreaming Biodiversity into the Management of the Coastal Zone in the Republic of Mauritius »</w:t>
      </w:r>
      <w:r w:rsidR="0024234B" w:rsidRPr="0024234B">
        <w:rPr>
          <w:rFonts w:ascii="Verdana" w:hAnsi="Verdana"/>
          <w:sz w:val="24"/>
          <w:szCs w:val="24"/>
          <w:lang w:val="fr-FR"/>
        </w:rPr>
        <w:t xml:space="preserve"> </w:t>
      </w:r>
      <w:r w:rsidR="00EF3DC4">
        <w:rPr>
          <w:rFonts w:ascii="Verdana" w:hAnsi="Verdana"/>
          <w:sz w:val="24"/>
          <w:szCs w:val="24"/>
          <w:lang w:val="fr-FR"/>
        </w:rPr>
        <w:t>(implémenté par</w:t>
      </w:r>
      <w:r>
        <w:rPr>
          <w:rFonts w:ascii="Verdana" w:hAnsi="Verdana"/>
          <w:sz w:val="24"/>
          <w:szCs w:val="24"/>
          <w:lang w:val="fr-FR"/>
        </w:rPr>
        <w:t xml:space="preserve"> le</w:t>
      </w:r>
      <w:r w:rsidR="00C437D7">
        <w:rPr>
          <w:rFonts w:ascii="Verdana" w:hAnsi="Verdana"/>
          <w:sz w:val="24"/>
          <w:szCs w:val="24"/>
          <w:lang w:val="fr-FR"/>
        </w:rPr>
        <w:t xml:space="preserve"> ministère avec le support de la PNUD) </w:t>
      </w:r>
      <w:r w:rsidR="0024234B" w:rsidRPr="0024234B">
        <w:rPr>
          <w:rFonts w:ascii="Verdana" w:hAnsi="Verdana"/>
          <w:sz w:val="24"/>
          <w:szCs w:val="24"/>
          <w:lang w:val="fr-FR"/>
        </w:rPr>
        <w:t xml:space="preserve">se focalise sur la </w:t>
      </w:r>
      <w:r w:rsidR="0024234B" w:rsidRPr="0024234B">
        <w:rPr>
          <w:rFonts w:ascii="Verdana" w:eastAsia="Times New Roman" w:hAnsi="Verdana" w:cs="Times New Roman"/>
          <w:color w:val="000000"/>
          <w:sz w:val="24"/>
          <w:szCs w:val="24"/>
          <w:lang w:val="fr-FR"/>
        </w:rPr>
        <w:t>m</w:t>
      </w:r>
      <w:r w:rsidR="0024234B" w:rsidRPr="0024234B">
        <w:rPr>
          <w:rFonts w:ascii="Verdana" w:eastAsia="Times New Roman" w:hAnsi="Verdana" w:cs="Times New Roman"/>
          <w:bCs/>
          <w:iCs/>
          <w:color w:val="000000"/>
          <w:sz w:val="24"/>
          <w:szCs w:val="24"/>
          <w:lang w:val="fr-FR"/>
        </w:rPr>
        <w:t>ise à jour des don</w:t>
      </w:r>
      <w:r w:rsidR="00E452F8">
        <w:rPr>
          <w:rFonts w:ascii="Verdana" w:eastAsia="Times New Roman" w:hAnsi="Verdana" w:cs="Times New Roman"/>
          <w:bCs/>
          <w:iCs/>
          <w:color w:val="000000"/>
          <w:sz w:val="24"/>
          <w:szCs w:val="24"/>
          <w:lang w:val="fr-FR"/>
        </w:rPr>
        <w:t>nées, des cartes</w:t>
      </w:r>
      <w:r w:rsidR="0024234B" w:rsidRPr="0024234B">
        <w:rPr>
          <w:rFonts w:ascii="Verdana" w:eastAsia="Times New Roman" w:hAnsi="Verdana" w:cs="Times New Roman"/>
          <w:bCs/>
          <w:iCs/>
          <w:color w:val="000000"/>
          <w:sz w:val="24"/>
          <w:szCs w:val="24"/>
          <w:lang w:val="fr-FR"/>
        </w:rPr>
        <w:t xml:space="preserve"> et des recommandations en matière de gestion des zones écologiquement sensibles, en particulier en </w:t>
      </w:r>
      <w:r w:rsidR="0024234B" w:rsidRPr="0024234B">
        <w:rPr>
          <w:rFonts w:ascii="Verdana" w:eastAsia="Times New Roman" w:hAnsi="Verdana" w:cs="Times New Roman"/>
          <w:bCs/>
          <w:iCs/>
          <w:color w:val="000000"/>
          <w:sz w:val="24"/>
          <w:szCs w:val="24"/>
          <w:lang w:val="fr-FR"/>
        </w:rPr>
        <w:lastRenderedPageBreak/>
        <w:t xml:space="preserve">ce qui concerne la biodiversité côtière et marine. Une firme </w:t>
      </w:r>
      <w:r w:rsidR="00421A8C" w:rsidRPr="0024234B">
        <w:rPr>
          <w:rFonts w:ascii="Verdana" w:eastAsia="Times New Roman" w:hAnsi="Verdana" w:cs="Times New Roman"/>
          <w:bCs/>
          <w:iCs/>
          <w:color w:val="000000"/>
          <w:sz w:val="24"/>
          <w:szCs w:val="24"/>
          <w:lang w:val="fr-FR"/>
        </w:rPr>
        <w:t>Néo-Zélandaise</w:t>
      </w:r>
      <w:r w:rsidR="0024234B" w:rsidRPr="0024234B">
        <w:rPr>
          <w:rFonts w:ascii="Verdana" w:eastAsia="Times New Roman" w:hAnsi="Verdana" w:cs="Times New Roman"/>
          <w:bCs/>
          <w:iCs/>
          <w:color w:val="000000"/>
          <w:sz w:val="24"/>
          <w:szCs w:val="24"/>
          <w:lang w:val="fr-FR"/>
        </w:rPr>
        <w:t xml:space="preserve"> a été </w:t>
      </w:r>
      <w:r w:rsidR="00421A8C" w:rsidRPr="0024234B">
        <w:rPr>
          <w:rFonts w:ascii="Verdana" w:eastAsia="Times New Roman" w:hAnsi="Verdana" w:cs="Times New Roman"/>
          <w:bCs/>
          <w:iCs/>
          <w:color w:val="000000"/>
          <w:sz w:val="24"/>
          <w:szCs w:val="24"/>
          <w:lang w:val="fr-FR"/>
        </w:rPr>
        <w:t>mandatée</w:t>
      </w:r>
      <w:r w:rsidR="0024234B" w:rsidRPr="0024234B">
        <w:rPr>
          <w:rFonts w:ascii="Verdana" w:eastAsia="Times New Roman" w:hAnsi="Verdana" w:cs="Times New Roman"/>
          <w:bCs/>
          <w:iCs/>
          <w:color w:val="000000"/>
          <w:sz w:val="24"/>
          <w:szCs w:val="24"/>
          <w:lang w:val="fr-FR"/>
        </w:rPr>
        <w:t xml:space="preserve"> </w:t>
      </w:r>
      <w:r w:rsidR="000076FF">
        <w:rPr>
          <w:rFonts w:ascii="Verdana" w:eastAsia="Times New Roman" w:hAnsi="Verdana" w:cs="Times New Roman"/>
          <w:bCs/>
          <w:iCs/>
          <w:color w:val="000000"/>
          <w:sz w:val="24"/>
          <w:szCs w:val="24"/>
          <w:lang w:val="fr-FR"/>
        </w:rPr>
        <w:t xml:space="preserve">par le PNUD </w:t>
      </w:r>
      <w:r w:rsidR="0024234B" w:rsidRPr="0024234B">
        <w:rPr>
          <w:rFonts w:ascii="Verdana" w:eastAsia="Times New Roman" w:hAnsi="Verdana" w:cs="Times New Roman"/>
          <w:bCs/>
          <w:iCs/>
          <w:color w:val="000000"/>
          <w:sz w:val="24"/>
          <w:szCs w:val="24"/>
          <w:lang w:val="fr-FR"/>
        </w:rPr>
        <w:t xml:space="preserve">afin de mener </w:t>
      </w:r>
      <w:r w:rsidR="00421A8C" w:rsidRPr="0024234B">
        <w:rPr>
          <w:rFonts w:ascii="Verdana" w:eastAsia="Times New Roman" w:hAnsi="Verdana" w:cs="Times New Roman"/>
          <w:bCs/>
          <w:iCs/>
          <w:color w:val="000000"/>
          <w:sz w:val="24"/>
          <w:szCs w:val="24"/>
          <w:lang w:val="fr-FR"/>
        </w:rPr>
        <w:t>à</w:t>
      </w:r>
      <w:r w:rsidR="00421A8C">
        <w:rPr>
          <w:rFonts w:ascii="Verdana" w:eastAsia="Times New Roman" w:hAnsi="Verdana" w:cs="Times New Roman"/>
          <w:bCs/>
          <w:iCs/>
          <w:color w:val="000000"/>
          <w:sz w:val="24"/>
          <w:szCs w:val="24"/>
          <w:lang w:val="fr-FR"/>
        </w:rPr>
        <w:t xml:space="preserve"> bien ce projet et l’</w:t>
      </w:r>
      <w:r w:rsidR="00421A8C" w:rsidRPr="0024234B">
        <w:rPr>
          <w:rFonts w:ascii="Verdana" w:eastAsia="Times New Roman" w:hAnsi="Verdana" w:cs="Times New Roman"/>
          <w:bCs/>
          <w:iCs/>
          <w:color w:val="000000"/>
          <w:sz w:val="24"/>
          <w:szCs w:val="24"/>
          <w:lang w:val="fr-FR"/>
        </w:rPr>
        <w:t>étude</w:t>
      </w:r>
      <w:r w:rsidR="00421A8C">
        <w:rPr>
          <w:rFonts w:ascii="Verdana" w:eastAsia="Times New Roman" w:hAnsi="Verdana" w:cs="Times New Roman"/>
          <w:bCs/>
          <w:iCs/>
          <w:color w:val="000000"/>
          <w:sz w:val="24"/>
          <w:szCs w:val="24"/>
          <w:lang w:val="fr-FR"/>
        </w:rPr>
        <w:t xml:space="preserve"> est</w:t>
      </w:r>
      <w:r w:rsidR="0024234B" w:rsidRPr="0024234B">
        <w:rPr>
          <w:rFonts w:ascii="Verdana" w:eastAsia="Times New Roman" w:hAnsi="Verdana" w:cs="Times New Roman"/>
          <w:bCs/>
          <w:iCs/>
          <w:color w:val="000000"/>
          <w:sz w:val="24"/>
          <w:szCs w:val="24"/>
          <w:lang w:val="fr-FR"/>
        </w:rPr>
        <w:t xml:space="preserve"> en cours. </w:t>
      </w:r>
      <w:r w:rsidR="0024234B" w:rsidRPr="004F10AB">
        <w:rPr>
          <w:rFonts w:ascii="Verdana" w:eastAsia="Times New Roman" w:hAnsi="Verdana" w:cs="Times New Roman"/>
          <w:color w:val="000000"/>
          <w:sz w:val="24"/>
          <w:szCs w:val="24"/>
          <w:lang w:val="fr-FR"/>
        </w:rPr>
        <w:t>Ce</w:t>
      </w:r>
      <w:r w:rsidR="0024234B">
        <w:rPr>
          <w:rFonts w:ascii="Verdana" w:eastAsia="Times New Roman" w:hAnsi="Verdana" w:cs="Times New Roman"/>
          <w:color w:val="000000"/>
          <w:sz w:val="24"/>
          <w:szCs w:val="24"/>
          <w:lang w:val="fr-FR"/>
        </w:rPr>
        <w:t xml:space="preserve"> projet </w:t>
      </w:r>
      <w:r w:rsidR="0024234B" w:rsidRPr="004F10AB">
        <w:rPr>
          <w:rFonts w:ascii="Verdana" w:eastAsia="Times New Roman" w:hAnsi="Verdana" w:cs="Times New Roman"/>
          <w:color w:val="000000"/>
          <w:sz w:val="24"/>
          <w:szCs w:val="24"/>
          <w:lang w:val="fr-FR"/>
        </w:rPr>
        <w:t xml:space="preserve">produira </w:t>
      </w:r>
      <w:r w:rsidR="0024234B">
        <w:rPr>
          <w:rFonts w:ascii="Verdana" w:eastAsia="Times New Roman" w:hAnsi="Verdana" w:cs="Times New Roman"/>
          <w:color w:val="000000"/>
          <w:sz w:val="24"/>
          <w:szCs w:val="24"/>
          <w:lang w:val="fr-FR"/>
        </w:rPr>
        <w:t>une mise</w:t>
      </w:r>
      <w:r w:rsidR="0024234B" w:rsidRPr="004F10AB">
        <w:rPr>
          <w:rFonts w:ascii="Verdana" w:eastAsia="Times New Roman" w:hAnsi="Verdana" w:cs="Times New Roman"/>
          <w:color w:val="000000"/>
          <w:sz w:val="24"/>
          <w:szCs w:val="24"/>
          <w:lang w:val="fr-FR"/>
        </w:rPr>
        <w:t xml:space="preserve"> à jour des cartes des zones </w:t>
      </w:r>
      <w:r w:rsidR="00421A8C" w:rsidRPr="004F10AB">
        <w:rPr>
          <w:rFonts w:ascii="Verdana" w:eastAsia="Times New Roman" w:hAnsi="Verdana" w:cs="Times New Roman"/>
          <w:color w:val="000000"/>
          <w:sz w:val="24"/>
          <w:szCs w:val="24"/>
          <w:lang w:val="fr-FR"/>
        </w:rPr>
        <w:t>écologiquement</w:t>
      </w:r>
      <w:r w:rsidR="0024234B" w:rsidRPr="004F10AB">
        <w:rPr>
          <w:rFonts w:ascii="Verdana" w:eastAsia="Times New Roman" w:hAnsi="Verdana" w:cs="Times New Roman"/>
          <w:color w:val="000000"/>
          <w:sz w:val="24"/>
          <w:szCs w:val="24"/>
          <w:lang w:val="fr-FR"/>
        </w:rPr>
        <w:t xml:space="preserve"> sensibles (ESA</w:t>
      </w:r>
      <w:r w:rsidR="000076FF" w:rsidRPr="004F10AB">
        <w:rPr>
          <w:rFonts w:ascii="Verdana" w:eastAsia="Times New Roman" w:hAnsi="Verdana" w:cs="Times New Roman"/>
          <w:color w:val="000000"/>
          <w:sz w:val="24"/>
          <w:szCs w:val="24"/>
          <w:lang w:val="fr-FR"/>
        </w:rPr>
        <w:t>)</w:t>
      </w:r>
      <w:r w:rsidR="000076FF">
        <w:rPr>
          <w:rFonts w:ascii="Verdana" w:eastAsia="Times New Roman" w:hAnsi="Verdana" w:cs="Times New Roman"/>
          <w:color w:val="000000"/>
          <w:sz w:val="24"/>
          <w:szCs w:val="24"/>
          <w:lang w:val="fr-FR"/>
        </w:rPr>
        <w:t>, qui</w:t>
      </w:r>
      <w:r w:rsidR="0024234B" w:rsidRPr="004F10AB">
        <w:rPr>
          <w:rFonts w:ascii="Verdana" w:eastAsia="Times New Roman" w:hAnsi="Verdana" w:cs="Times New Roman"/>
          <w:color w:val="000000"/>
          <w:sz w:val="24"/>
          <w:szCs w:val="24"/>
          <w:lang w:val="fr-FR"/>
        </w:rPr>
        <w:t xml:space="preserve"> seront transcrites dans un </w:t>
      </w:r>
      <w:r w:rsidR="0024234B">
        <w:rPr>
          <w:rFonts w:ascii="Verdana" w:eastAsia="Times New Roman" w:hAnsi="Verdana" w:cs="Times New Roman"/>
          <w:color w:val="000000"/>
          <w:sz w:val="24"/>
          <w:szCs w:val="24"/>
          <w:lang w:val="fr-FR"/>
        </w:rPr>
        <w:t xml:space="preserve">cadre </w:t>
      </w:r>
      <w:r w:rsidR="00421A8C">
        <w:rPr>
          <w:rFonts w:ascii="Verdana" w:eastAsia="Times New Roman" w:hAnsi="Verdana" w:cs="Times New Roman"/>
          <w:color w:val="000000"/>
          <w:sz w:val="24"/>
          <w:szCs w:val="24"/>
          <w:lang w:val="fr-FR"/>
        </w:rPr>
        <w:t>légal</w:t>
      </w:r>
      <w:r w:rsidR="0024234B">
        <w:rPr>
          <w:rFonts w:ascii="Verdana" w:eastAsia="Times New Roman" w:hAnsi="Verdana" w:cs="Times New Roman"/>
          <w:color w:val="000000"/>
          <w:sz w:val="24"/>
          <w:szCs w:val="24"/>
          <w:lang w:val="fr-FR"/>
        </w:rPr>
        <w:t xml:space="preserve"> </w:t>
      </w:r>
      <w:r w:rsidR="0024234B" w:rsidRPr="004F10AB">
        <w:rPr>
          <w:rFonts w:ascii="Verdana" w:eastAsia="Times New Roman" w:hAnsi="Verdana" w:cs="Times New Roman"/>
          <w:color w:val="000000"/>
          <w:sz w:val="24"/>
          <w:szCs w:val="24"/>
          <w:lang w:val="fr-FR"/>
        </w:rPr>
        <w:t>approprié</w:t>
      </w:r>
      <w:r w:rsidR="0024234B">
        <w:rPr>
          <w:rFonts w:ascii="Verdana" w:eastAsia="Times New Roman" w:hAnsi="Verdana" w:cs="Times New Roman"/>
          <w:color w:val="000000"/>
          <w:sz w:val="24"/>
          <w:szCs w:val="24"/>
          <w:lang w:val="fr-FR"/>
        </w:rPr>
        <w:t xml:space="preserve"> </w:t>
      </w:r>
      <w:r w:rsidR="0024234B" w:rsidRPr="004F10AB">
        <w:rPr>
          <w:rFonts w:ascii="Verdana" w:eastAsia="Times New Roman" w:hAnsi="Verdana" w:cs="Times New Roman"/>
          <w:color w:val="000000"/>
          <w:sz w:val="24"/>
          <w:szCs w:val="24"/>
          <w:lang w:val="fr-FR"/>
        </w:rPr>
        <w:t xml:space="preserve">afin que les ESAs soient prises en compte lors de la planification de </w:t>
      </w:r>
      <w:r w:rsidR="0024234B" w:rsidRPr="00FB0E2F">
        <w:rPr>
          <w:rFonts w:ascii="Verdana" w:eastAsia="Times New Roman" w:hAnsi="Verdana" w:cs="Times New Roman"/>
          <w:color w:val="000000"/>
          <w:sz w:val="24"/>
          <w:szCs w:val="24"/>
          <w:lang w:val="fr-FR"/>
        </w:rPr>
        <w:t>nouveaux développements et soient conservées.</w:t>
      </w:r>
      <w:r w:rsidR="00FB0E2F" w:rsidRPr="00FB0E2F">
        <w:rPr>
          <w:rFonts w:ascii="Verdana" w:eastAsia="Times New Roman" w:hAnsi="Verdana" w:cs="Times New Roman"/>
          <w:color w:val="000000"/>
          <w:sz w:val="24"/>
          <w:szCs w:val="24"/>
          <w:lang w:val="fr-FR"/>
        </w:rPr>
        <w:t xml:space="preserve"> A cet effet, une somme d’</w:t>
      </w:r>
      <w:r w:rsidR="00E66138" w:rsidRPr="00FB0E2F">
        <w:rPr>
          <w:rFonts w:ascii="Verdana" w:eastAsia="Times New Roman" w:hAnsi="Verdana" w:cs="Times New Roman"/>
          <w:color w:val="000000"/>
          <w:sz w:val="24"/>
          <w:szCs w:val="24"/>
          <w:lang w:val="fr-FR"/>
        </w:rPr>
        <w:t>un million de roupies sera consacré</w:t>
      </w:r>
      <w:r w:rsidR="00FB0E2F" w:rsidRPr="00FB0E2F">
        <w:rPr>
          <w:rFonts w:ascii="Verdana" w:eastAsia="Times New Roman" w:hAnsi="Verdana" w:cs="Times New Roman"/>
          <w:color w:val="000000"/>
          <w:sz w:val="24"/>
          <w:szCs w:val="24"/>
          <w:lang w:val="fr-FR"/>
        </w:rPr>
        <w:t>e</w:t>
      </w:r>
      <w:r w:rsidR="00E66138" w:rsidRPr="00FB0E2F">
        <w:rPr>
          <w:rFonts w:ascii="Verdana" w:eastAsia="Times New Roman" w:hAnsi="Verdana" w:cs="Times New Roman"/>
          <w:color w:val="000000"/>
          <w:sz w:val="24"/>
          <w:szCs w:val="24"/>
          <w:lang w:val="fr-FR"/>
        </w:rPr>
        <w:t xml:space="preserve"> à la formation de</w:t>
      </w:r>
      <w:r w:rsidR="00FB0E2F" w:rsidRPr="00FB0E2F">
        <w:rPr>
          <w:rFonts w:ascii="Verdana" w:eastAsia="Times New Roman" w:hAnsi="Verdana" w:cs="Times New Roman"/>
          <w:color w:val="000000"/>
          <w:sz w:val="24"/>
          <w:szCs w:val="24"/>
          <w:lang w:val="fr-FR"/>
        </w:rPr>
        <w:t xml:space="preserve"> cadres du planning, de </w:t>
      </w:r>
      <w:r w:rsidR="00FB0E2F" w:rsidRPr="00FB0E2F">
        <w:rPr>
          <w:rFonts w:ascii="Verdana" w:eastAsia="Times New Roman" w:hAnsi="Verdana" w:cs="Times New Roman"/>
          <w:i/>
          <w:color w:val="000000"/>
          <w:sz w:val="24"/>
          <w:szCs w:val="24"/>
          <w:lang w:val="fr-FR"/>
        </w:rPr>
        <w:t>land surveying</w:t>
      </w:r>
      <w:r w:rsidR="00E452F8">
        <w:rPr>
          <w:rFonts w:ascii="Verdana" w:eastAsia="Times New Roman" w:hAnsi="Verdana" w:cs="Times New Roman"/>
          <w:color w:val="000000"/>
          <w:sz w:val="24"/>
          <w:szCs w:val="24"/>
          <w:lang w:val="fr-FR"/>
        </w:rPr>
        <w:t xml:space="preserve"> et de</w:t>
      </w:r>
      <w:r w:rsidR="00E66138" w:rsidRPr="00FB0E2F">
        <w:rPr>
          <w:rFonts w:ascii="Verdana" w:eastAsia="Times New Roman" w:hAnsi="Verdana" w:cs="Times New Roman"/>
          <w:color w:val="000000"/>
          <w:sz w:val="24"/>
          <w:szCs w:val="24"/>
          <w:lang w:val="fr-FR"/>
        </w:rPr>
        <w:t xml:space="preserve"> cartographes </w:t>
      </w:r>
      <w:r w:rsidR="00EF3DC4">
        <w:rPr>
          <w:rFonts w:ascii="Verdana" w:eastAsia="Times New Roman" w:hAnsi="Verdana" w:cs="Times New Roman"/>
          <w:color w:val="000000"/>
          <w:sz w:val="24"/>
          <w:szCs w:val="24"/>
          <w:lang w:val="fr-FR"/>
        </w:rPr>
        <w:t xml:space="preserve">afin de compléter </w:t>
      </w:r>
      <w:r w:rsidR="00E66138" w:rsidRPr="00FB0E2F">
        <w:rPr>
          <w:rFonts w:ascii="Verdana" w:eastAsia="Times New Roman" w:hAnsi="Verdana" w:cs="Times New Roman"/>
          <w:color w:val="000000"/>
          <w:sz w:val="24"/>
          <w:szCs w:val="24"/>
          <w:lang w:val="fr-FR"/>
        </w:rPr>
        <w:t xml:space="preserve">l’identification </w:t>
      </w:r>
      <w:r w:rsidR="00FB0E2F">
        <w:rPr>
          <w:rFonts w:ascii="Verdana" w:eastAsia="Times New Roman" w:hAnsi="Verdana" w:cs="Times New Roman"/>
          <w:color w:val="000000"/>
          <w:sz w:val="24"/>
          <w:szCs w:val="24"/>
          <w:lang w:val="fr-FR"/>
        </w:rPr>
        <w:t>et le ‘</w:t>
      </w:r>
      <w:r w:rsidR="00FB0E2F" w:rsidRPr="00FB0E2F">
        <w:rPr>
          <w:rFonts w:ascii="Verdana" w:eastAsia="Times New Roman" w:hAnsi="Verdana" w:cs="Times New Roman"/>
          <w:i/>
          <w:color w:val="000000"/>
          <w:sz w:val="24"/>
          <w:szCs w:val="24"/>
          <w:lang w:val="fr-FR"/>
        </w:rPr>
        <w:t>mapping</w:t>
      </w:r>
      <w:r w:rsidR="00FB0E2F">
        <w:rPr>
          <w:rFonts w:ascii="Verdana" w:eastAsia="Times New Roman" w:hAnsi="Verdana" w:cs="Times New Roman"/>
          <w:color w:val="000000"/>
          <w:sz w:val="24"/>
          <w:szCs w:val="24"/>
          <w:lang w:val="fr-FR"/>
        </w:rPr>
        <w:t xml:space="preserve">’ </w:t>
      </w:r>
      <w:r w:rsidR="00EF3DC4">
        <w:rPr>
          <w:rFonts w:ascii="Verdana" w:eastAsia="Times New Roman" w:hAnsi="Verdana" w:cs="Times New Roman"/>
          <w:color w:val="000000"/>
          <w:sz w:val="24"/>
          <w:szCs w:val="24"/>
          <w:lang w:val="fr-FR"/>
        </w:rPr>
        <w:t xml:space="preserve">de toutes les </w:t>
      </w:r>
      <w:r w:rsidR="00E66138" w:rsidRPr="00FB0E2F">
        <w:rPr>
          <w:rFonts w:ascii="Verdana" w:eastAsia="Times New Roman" w:hAnsi="Verdana" w:cs="Times New Roman"/>
          <w:color w:val="000000"/>
          <w:sz w:val="24"/>
          <w:szCs w:val="24"/>
          <w:lang w:val="fr-FR"/>
        </w:rPr>
        <w:t>ESA.</w:t>
      </w:r>
      <w:r w:rsidR="00E66138">
        <w:rPr>
          <w:rFonts w:ascii="Verdana" w:eastAsia="Times New Roman" w:hAnsi="Verdana" w:cs="Times New Roman"/>
          <w:color w:val="000000"/>
          <w:sz w:val="24"/>
          <w:szCs w:val="24"/>
          <w:lang w:val="fr-FR"/>
        </w:rPr>
        <w:t xml:space="preserve"> </w:t>
      </w:r>
    </w:p>
    <w:p w:rsidR="0031038B" w:rsidRPr="007D2788" w:rsidRDefault="00EC2114" w:rsidP="009247DF">
      <w:pPr>
        <w:pStyle w:val="NormalWeb"/>
        <w:ind w:firstLine="360"/>
        <w:jc w:val="both"/>
        <w:rPr>
          <w:rFonts w:ascii="Verdana" w:hAnsi="Verdana"/>
          <w:lang w:val="fr-FR"/>
        </w:rPr>
      </w:pPr>
      <w:r>
        <w:rPr>
          <w:rFonts w:ascii="Verdana" w:hAnsi="Verdana"/>
          <w:lang w:val="fr-FR"/>
        </w:rPr>
        <w:t>S</w:t>
      </w:r>
      <w:r w:rsidR="00585973" w:rsidRPr="007D2788">
        <w:rPr>
          <w:rFonts w:ascii="Verdana" w:hAnsi="Verdana"/>
          <w:lang w:val="fr-FR"/>
        </w:rPr>
        <w:t xml:space="preserve">uivant les discussions pendant les Assises de </w:t>
      </w:r>
      <w:r w:rsidR="00A50CD2" w:rsidRPr="007D2788">
        <w:rPr>
          <w:rFonts w:ascii="Verdana" w:hAnsi="Verdana"/>
          <w:lang w:val="fr-FR"/>
        </w:rPr>
        <w:t>L’E</w:t>
      </w:r>
      <w:r w:rsidR="00585973" w:rsidRPr="007D2788">
        <w:rPr>
          <w:rFonts w:ascii="Verdana" w:hAnsi="Verdana"/>
          <w:lang w:val="fr-FR"/>
        </w:rPr>
        <w:t>nvironnement</w:t>
      </w:r>
      <w:r w:rsidR="001E2BF6" w:rsidRPr="007D2788">
        <w:rPr>
          <w:rFonts w:ascii="Verdana" w:hAnsi="Verdana"/>
          <w:lang w:val="fr-FR"/>
        </w:rPr>
        <w:t xml:space="preserve"> (</w:t>
      </w:r>
      <w:r w:rsidR="004D389F" w:rsidRPr="007D2788">
        <w:rPr>
          <w:rFonts w:ascii="Verdana" w:hAnsi="Verdana"/>
          <w:lang w:val="fr-FR"/>
        </w:rPr>
        <w:t xml:space="preserve">qui avaient réuni </w:t>
      </w:r>
      <w:r w:rsidR="00BC0D5F" w:rsidRPr="007D2788">
        <w:rPr>
          <w:rFonts w:ascii="Verdana" w:hAnsi="Verdana"/>
          <w:lang w:val="fr-FR"/>
        </w:rPr>
        <w:t>environ 400 personnes</w:t>
      </w:r>
      <w:r w:rsidR="004D389F" w:rsidRPr="007D2788">
        <w:rPr>
          <w:rFonts w:ascii="Verdana" w:hAnsi="Verdana"/>
          <w:lang w:val="fr-FR"/>
        </w:rPr>
        <w:t xml:space="preserve"> venant de 200 organisations différentes) </w:t>
      </w:r>
      <w:r w:rsidR="00585973" w:rsidRPr="007D2788">
        <w:rPr>
          <w:rFonts w:ascii="Verdana" w:hAnsi="Verdana"/>
          <w:lang w:val="fr-FR"/>
        </w:rPr>
        <w:t>et le</w:t>
      </w:r>
      <w:r w:rsidR="004D389F" w:rsidRPr="007D2788">
        <w:rPr>
          <w:rFonts w:ascii="Verdana" w:hAnsi="Verdana"/>
          <w:lang w:val="fr-FR"/>
        </w:rPr>
        <w:t>s</w:t>
      </w:r>
      <w:r w:rsidR="00585973" w:rsidRPr="007D2788">
        <w:rPr>
          <w:rFonts w:ascii="Verdana" w:hAnsi="Verdana"/>
          <w:lang w:val="fr-FR"/>
        </w:rPr>
        <w:t xml:space="preserve"> comité</w:t>
      </w:r>
      <w:r w:rsidR="004D389F" w:rsidRPr="007D2788">
        <w:rPr>
          <w:rFonts w:ascii="Verdana" w:hAnsi="Verdana"/>
          <w:lang w:val="fr-FR"/>
        </w:rPr>
        <w:t>s</w:t>
      </w:r>
      <w:r w:rsidR="00585973" w:rsidRPr="007D2788">
        <w:rPr>
          <w:rFonts w:ascii="Verdana" w:hAnsi="Verdana"/>
          <w:lang w:val="fr-FR"/>
        </w:rPr>
        <w:t xml:space="preserve"> de travail mis en place</w:t>
      </w:r>
      <w:r w:rsidR="004D389F" w:rsidRPr="007D2788">
        <w:rPr>
          <w:rFonts w:ascii="Verdana" w:hAnsi="Verdana"/>
          <w:lang w:val="fr-FR"/>
        </w:rPr>
        <w:t xml:space="preserve"> par la suite</w:t>
      </w:r>
      <w:r w:rsidR="00585973" w:rsidRPr="007D2788">
        <w:rPr>
          <w:rFonts w:ascii="Verdana" w:hAnsi="Verdana"/>
          <w:lang w:val="fr-FR"/>
        </w:rPr>
        <w:t>, le ministère est en train de finaliser une</w:t>
      </w:r>
      <w:r w:rsidR="00A50CD2" w:rsidRPr="007D2788">
        <w:rPr>
          <w:rFonts w:ascii="Verdana" w:hAnsi="Verdana"/>
          <w:lang w:val="fr-FR"/>
        </w:rPr>
        <w:t xml:space="preserve"> nouvelle poli</w:t>
      </w:r>
      <w:r w:rsidR="0031038B" w:rsidRPr="007D2788">
        <w:rPr>
          <w:rFonts w:ascii="Verdana" w:hAnsi="Verdana"/>
          <w:lang w:val="fr-FR"/>
        </w:rPr>
        <w:t xml:space="preserve">tique environnementale. </w:t>
      </w:r>
    </w:p>
    <w:p w:rsidR="00234BAB" w:rsidRPr="007D2788" w:rsidRDefault="0031038B" w:rsidP="009247DF">
      <w:pPr>
        <w:pStyle w:val="NormalWeb"/>
        <w:ind w:firstLine="360"/>
        <w:jc w:val="both"/>
        <w:rPr>
          <w:rFonts w:ascii="Verdana" w:hAnsi="Verdana"/>
          <w:lang w:val="fr-FR"/>
        </w:rPr>
      </w:pPr>
      <w:r w:rsidRPr="007D2788">
        <w:rPr>
          <w:rFonts w:ascii="Verdana" w:hAnsi="Verdana"/>
          <w:lang w:val="fr-FR"/>
        </w:rPr>
        <w:t>Celle-ci prendra</w:t>
      </w:r>
      <w:r w:rsidR="00585973" w:rsidRPr="007D2788">
        <w:rPr>
          <w:rFonts w:ascii="Verdana" w:hAnsi="Verdana"/>
          <w:lang w:val="fr-FR"/>
        </w:rPr>
        <w:t xml:space="preserve"> en compte les besoins identifiés pour une transition écologique</w:t>
      </w:r>
      <w:r w:rsidR="004D389F" w:rsidRPr="007D2788">
        <w:rPr>
          <w:rFonts w:ascii="Verdana" w:hAnsi="Verdana"/>
          <w:lang w:val="fr-FR"/>
        </w:rPr>
        <w:t xml:space="preserve"> effective </w:t>
      </w:r>
      <w:r w:rsidR="00585973" w:rsidRPr="007D2788">
        <w:rPr>
          <w:rFonts w:ascii="Verdana" w:hAnsi="Verdana"/>
          <w:lang w:val="fr-FR"/>
        </w:rPr>
        <w:t xml:space="preserve">en ligne avec les </w:t>
      </w:r>
      <w:r w:rsidR="00A53E66" w:rsidRPr="007D2788">
        <w:rPr>
          <w:rFonts w:ascii="Verdana" w:hAnsi="Verdana"/>
          <w:lang w:val="fr-FR"/>
        </w:rPr>
        <w:t>Ob</w:t>
      </w:r>
      <w:r w:rsidR="004D389F" w:rsidRPr="007D2788">
        <w:rPr>
          <w:rFonts w:ascii="Verdana" w:hAnsi="Verdana"/>
          <w:lang w:val="fr-FR"/>
        </w:rPr>
        <w:t>jectifs</w:t>
      </w:r>
      <w:r w:rsidR="00A53E66" w:rsidRPr="007D2788">
        <w:rPr>
          <w:rFonts w:ascii="Verdana" w:hAnsi="Verdana"/>
          <w:lang w:val="fr-FR"/>
        </w:rPr>
        <w:t xml:space="preserve"> de développement durable</w:t>
      </w:r>
      <w:r w:rsidR="004D389F" w:rsidRPr="007D2788">
        <w:rPr>
          <w:rFonts w:ascii="Verdana" w:hAnsi="Verdana"/>
          <w:lang w:val="fr-FR"/>
        </w:rPr>
        <w:t xml:space="preserve"> (</w:t>
      </w:r>
      <w:r w:rsidR="00585973" w:rsidRPr="007D2788">
        <w:rPr>
          <w:rFonts w:ascii="Verdana" w:hAnsi="Verdana"/>
          <w:i/>
          <w:lang w:val="fr-FR"/>
        </w:rPr>
        <w:t>SDG goals</w:t>
      </w:r>
      <w:r w:rsidR="004D389F" w:rsidRPr="007D2788">
        <w:rPr>
          <w:rFonts w:ascii="Verdana" w:hAnsi="Verdana"/>
          <w:lang w:val="fr-FR"/>
        </w:rPr>
        <w:t xml:space="preserve">) </w:t>
      </w:r>
      <w:r w:rsidR="00585973" w:rsidRPr="007D2788">
        <w:rPr>
          <w:rFonts w:ascii="Verdana" w:hAnsi="Verdana"/>
          <w:lang w:val="fr-FR"/>
        </w:rPr>
        <w:t xml:space="preserve">et </w:t>
      </w:r>
      <w:r w:rsidR="00A53E66" w:rsidRPr="007D2788">
        <w:rPr>
          <w:rFonts w:ascii="Verdana" w:hAnsi="Verdana"/>
          <w:lang w:val="fr-FR"/>
        </w:rPr>
        <w:t xml:space="preserve">autres </w:t>
      </w:r>
      <w:r w:rsidR="00585973" w:rsidRPr="007D2788">
        <w:rPr>
          <w:rFonts w:ascii="Verdana" w:hAnsi="Verdana"/>
          <w:lang w:val="fr-FR"/>
        </w:rPr>
        <w:t>obligat</w:t>
      </w:r>
      <w:r w:rsidR="009765EA">
        <w:rPr>
          <w:rFonts w:ascii="Verdana" w:hAnsi="Verdana"/>
          <w:lang w:val="fr-FR"/>
        </w:rPr>
        <w:t>ions internationales auxquelles</w:t>
      </w:r>
      <w:r w:rsidR="006F6819" w:rsidRPr="007D2788">
        <w:rPr>
          <w:rFonts w:ascii="Verdana" w:hAnsi="Verdana"/>
          <w:lang w:val="fr-FR"/>
        </w:rPr>
        <w:t xml:space="preserve"> nous sommes signataires</w:t>
      </w:r>
      <w:r w:rsidR="00585973" w:rsidRPr="007D2788">
        <w:rPr>
          <w:rFonts w:ascii="Verdana" w:hAnsi="Verdana"/>
          <w:lang w:val="fr-FR"/>
        </w:rPr>
        <w:t xml:space="preserve">. </w:t>
      </w:r>
    </w:p>
    <w:p w:rsidR="00234BAB" w:rsidRDefault="00EC2114">
      <w:pPr>
        <w:rPr>
          <w:rFonts w:ascii="Verdana" w:hAnsi="Verdana"/>
          <w:sz w:val="24"/>
          <w:szCs w:val="24"/>
          <w:lang w:val="fr-FR"/>
        </w:rPr>
      </w:pPr>
      <w:r>
        <w:rPr>
          <w:rFonts w:ascii="Verdana" w:hAnsi="Verdana"/>
          <w:sz w:val="24"/>
          <w:szCs w:val="24"/>
          <w:lang w:val="fr-FR"/>
        </w:rPr>
        <w:t>Le Minis</w:t>
      </w:r>
      <w:r w:rsidR="0010786B">
        <w:rPr>
          <w:rFonts w:ascii="Verdana" w:hAnsi="Verdana"/>
          <w:sz w:val="24"/>
          <w:szCs w:val="24"/>
          <w:lang w:val="fr-FR"/>
        </w:rPr>
        <w:t>tère de l’Environnement, de la G</w:t>
      </w:r>
      <w:r>
        <w:rPr>
          <w:rFonts w:ascii="Verdana" w:hAnsi="Verdana"/>
          <w:sz w:val="24"/>
          <w:szCs w:val="24"/>
          <w:lang w:val="fr-FR"/>
        </w:rPr>
        <w:t xml:space="preserve">estion des déchets solides et du </w:t>
      </w:r>
      <w:r w:rsidR="005600C8">
        <w:rPr>
          <w:rFonts w:ascii="Verdana" w:hAnsi="Verdana"/>
          <w:sz w:val="24"/>
          <w:szCs w:val="24"/>
          <w:lang w:val="fr-FR"/>
        </w:rPr>
        <w:t>C</w:t>
      </w:r>
      <w:r>
        <w:rPr>
          <w:rFonts w:ascii="Verdana" w:hAnsi="Verdana"/>
          <w:sz w:val="24"/>
          <w:szCs w:val="24"/>
          <w:lang w:val="fr-FR"/>
        </w:rPr>
        <w:t xml:space="preserve">hangement climatique </w:t>
      </w:r>
      <w:r w:rsidR="000761F8">
        <w:rPr>
          <w:rFonts w:ascii="Verdana" w:hAnsi="Verdana"/>
          <w:sz w:val="24"/>
          <w:szCs w:val="24"/>
          <w:lang w:val="fr-FR"/>
        </w:rPr>
        <w:t>réitère son engagement à as</w:t>
      </w:r>
      <w:r>
        <w:rPr>
          <w:rFonts w:ascii="Verdana" w:hAnsi="Verdana"/>
          <w:sz w:val="24"/>
          <w:szCs w:val="24"/>
          <w:lang w:val="fr-FR"/>
        </w:rPr>
        <w:t>surer la protection de notre environnement</w:t>
      </w:r>
      <w:r w:rsidR="000761F8">
        <w:rPr>
          <w:rFonts w:ascii="Verdana" w:hAnsi="Verdana"/>
          <w:sz w:val="24"/>
          <w:szCs w:val="24"/>
          <w:lang w:val="fr-FR"/>
        </w:rPr>
        <w:t>.</w:t>
      </w:r>
    </w:p>
    <w:p w:rsidR="006B2107" w:rsidRDefault="006B2107">
      <w:pPr>
        <w:rPr>
          <w:rFonts w:ascii="Verdana" w:hAnsi="Verdana"/>
          <w:b/>
          <w:sz w:val="24"/>
          <w:szCs w:val="24"/>
          <w:lang w:val="fr-FR"/>
        </w:rPr>
      </w:pPr>
      <w:r>
        <w:rPr>
          <w:rFonts w:ascii="Verdana" w:hAnsi="Verdana"/>
          <w:b/>
          <w:sz w:val="24"/>
          <w:szCs w:val="24"/>
          <w:lang w:val="fr-FR"/>
        </w:rPr>
        <w:t>Le vendredi 17 juillet 2020</w:t>
      </w:r>
    </w:p>
    <w:p w:rsidR="006B2107" w:rsidRDefault="006B2107">
      <w:pPr>
        <w:rPr>
          <w:rFonts w:ascii="Verdana" w:hAnsi="Verdana"/>
          <w:b/>
          <w:sz w:val="24"/>
          <w:szCs w:val="24"/>
          <w:lang w:val="fr-FR"/>
        </w:rPr>
      </w:pPr>
      <w:r w:rsidRPr="006B2107">
        <w:rPr>
          <w:rFonts w:ascii="Verdana" w:hAnsi="Verdana"/>
          <w:b/>
          <w:sz w:val="24"/>
          <w:szCs w:val="24"/>
          <w:lang w:val="fr-FR"/>
        </w:rPr>
        <w:t>Ministère de l’Environnement, de la Gestion des déchets solides et du Changement climatique</w:t>
      </w:r>
    </w:p>
    <w:p w:rsidR="006B2107" w:rsidRPr="006B2107" w:rsidRDefault="006B2107">
      <w:pPr>
        <w:rPr>
          <w:rFonts w:ascii="Verdana" w:hAnsi="Verdana"/>
          <w:b/>
          <w:sz w:val="24"/>
          <w:szCs w:val="24"/>
          <w:lang w:val="fr-FR"/>
        </w:rPr>
      </w:pPr>
    </w:p>
    <w:sectPr w:rsidR="006B2107" w:rsidRPr="006B210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13A" w:rsidRDefault="0025613A" w:rsidP="0012712E">
      <w:pPr>
        <w:spacing w:after="0" w:line="240" w:lineRule="auto"/>
      </w:pPr>
      <w:r>
        <w:separator/>
      </w:r>
    </w:p>
  </w:endnote>
  <w:endnote w:type="continuationSeparator" w:id="0">
    <w:p w:rsidR="0025613A" w:rsidRDefault="0025613A" w:rsidP="00127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13A" w:rsidRDefault="0025613A" w:rsidP="0012712E">
      <w:pPr>
        <w:spacing w:after="0" w:line="240" w:lineRule="auto"/>
      </w:pPr>
      <w:r>
        <w:separator/>
      </w:r>
    </w:p>
  </w:footnote>
  <w:footnote w:type="continuationSeparator" w:id="0">
    <w:p w:rsidR="0025613A" w:rsidRDefault="0025613A" w:rsidP="00127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34F1E"/>
    <w:multiLevelType w:val="hybridMultilevel"/>
    <w:tmpl w:val="43684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65CEF"/>
    <w:multiLevelType w:val="hybridMultilevel"/>
    <w:tmpl w:val="1D129D04"/>
    <w:lvl w:ilvl="0" w:tplc="F508D04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3E5D62"/>
    <w:multiLevelType w:val="hybridMultilevel"/>
    <w:tmpl w:val="A85668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E2161D3"/>
    <w:multiLevelType w:val="hybridMultilevel"/>
    <w:tmpl w:val="32DEE022"/>
    <w:lvl w:ilvl="0" w:tplc="19400B1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D93"/>
    <w:rsid w:val="00003DB8"/>
    <w:rsid w:val="000076FF"/>
    <w:rsid w:val="00062283"/>
    <w:rsid w:val="000761F8"/>
    <w:rsid w:val="0010786B"/>
    <w:rsid w:val="0012712E"/>
    <w:rsid w:val="001453A9"/>
    <w:rsid w:val="00161CCA"/>
    <w:rsid w:val="00184615"/>
    <w:rsid w:val="00193222"/>
    <w:rsid w:val="00194C94"/>
    <w:rsid w:val="001B26FC"/>
    <w:rsid w:val="001E2BF6"/>
    <w:rsid w:val="00226FB5"/>
    <w:rsid w:val="00234BAB"/>
    <w:rsid w:val="0024234B"/>
    <w:rsid w:val="0025613A"/>
    <w:rsid w:val="002B3454"/>
    <w:rsid w:val="002D2E06"/>
    <w:rsid w:val="003012CD"/>
    <w:rsid w:val="0031038B"/>
    <w:rsid w:val="003442BE"/>
    <w:rsid w:val="0035364B"/>
    <w:rsid w:val="003C3A74"/>
    <w:rsid w:val="003C77D3"/>
    <w:rsid w:val="003D0ACE"/>
    <w:rsid w:val="003D47CB"/>
    <w:rsid w:val="00421A8C"/>
    <w:rsid w:val="004D389F"/>
    <w:rsid w:val="004F10AB"/>
    <w:rsid w:val="0051658B"/>
    <w:rsid w:val="00540B35"/>
    <w:rsid w:val="005600C8"/>
    <w:rsid w:val="00583E46"/>
    <w:rsid w:val="00585973"/>
    <w:rsid w:val="00591E88"/>
    <w:rsid w:val="005D22D0"/>
    <w:rsid w:val="005F3138"/>
    <w:rsid w:val="00663D93"/>
    <w:rsid w:val="0067561D"/>
    <w:rsid w:val="006B2107"/>
    <w:rsid w:val="006B7F68"/>
    <w:rsid w:val="006F6819"/>
    <w:rsid w:val="007529A3"/>
    <w:rsid w:val="00764E03"/>
    <w:rsid w:val="00795156"/>
    <w:rsid w:val="007A64B4"/>
    <w:rsid w:val="007C6E9B"/>
    <w:rsid w:val="007D2788"/>
    <w:rsid w:val="00873084"/>
    <w:rsid w:val="008B3DA8"/>
    <w:rsid w:val="00915F80"/>
    <w:rsid w:val="009247DF"/>
    <w:rsid w:val="009765EA"/>
    <w:rsid w:val="009E263C"/>
    <w:rsid w:val="00A50CD2"/>
    <w:rsid w:val="00A53E66"/>
    <w:rsid w:val="00A734E7"/>
    <w:rsid w:val="00AF23D5"/>
    <w:rsid w:val="00B010B1"/>
    <w:rsid w:val="00B023ED"/>
    <w:rsid w:val="00B22A94"/>
    <w:rsid w:val="00B3461E"/>
    <w:rsid w:val="00BC0D5F"/>
    <w:rsid w:val="00C437D7"/>
    <w:rsid w:val="00C65838"/>
    <w:rsid w:val="00C91029"/>
    <w:rsid w:val="00CC3E83"/>
    <w:rsid w:val="00CF6CB0"/>
    <w:rsid w:val="00D721BC"/>
    <w:rsid w:val="00DF37F7"/>
    <w:rsid w:val="00E12F8E"/>
    <w:rsid w:val="00E14651"/>
    <w:rsid w:val="00E452F8"/>
    <w:rsid w:val="00E66138"/>
    <w:rsid w:val="00EB21E8"/>
    <w:rsid w:val="00EC1958"/>
    <w:rsid w:val="00EC2114"/>
    <w:rsid w:val="00EF3DC4"/>
    <w:rsid w:val="00FA1963"/>
    <w:rsid w:val="00FB0E2F"/>
    <w:rsid w:val="00FB2324"/>
    <w:rsid w:val="00FE2BFD"/>
    <w:rsid w:val="00FE3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E341B-5AF3-4699-95F0-74C826C8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4BA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Indent Paragraph,List Paragraph (numbered (a)),References,List Paragraph1"/>
    <w:basedOn w:val="Normal"/>
    <w:link w:val="ListParagraphChar"/>
    <w:qFormat/>
    <w:rsid w:val="00234BAB"/>
    <w:pPr>
      <w:ind w:left="720"/>
      <w:contextualSpacing/>
    </w:pPr>
  </w:style>
  <w:style w:type="character" w:customStyle="1" w:styleId="ListParagraphChar">
    <w:name w:val="List Paragraph Char"/>
    <w:aliases w:val="Indent Paragraph Char,List Paragraph (numbered (a)) Char,References Char,List Paragraph1 Char"/>
    <w:basedOn w:val="DefaultParagraphFont"/>
    <w:link w:val="ListParagraph"/>
    <w:locked/>
    <w:rsid w:val="00234BAB"/>
  </w:style>
  <w:style w:type="paragraph" w:styleId="Header">
    <w:name w:val="header"/>
    <w:basedOn w:val="Normal"/>
    <w:link w:val="HeaderChar"/>
    <w:uiPriority w:val="99"/>
    <w:unhideWhenUsed/>
    <w:rsid w:val="00127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12E"/>
  </w:style>
  <w:style w:type="paragraph" w:styleId="Footer">
    <w:name w:val="footer"/>
    <w:basedOn w:val="Normal"/>
    <w:link w:val="FooterChar"/>
    <w:uiPriority w:val="99"/>
    <w:unhideWhenUsed/>
    <w:rsid w:val="00127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12E"/>
  </w:style>
  <w:style w:type="character" w:styleId="Emphasis">
    <w:name w:val="Emphasis"/>
    <w:basedOn w:val="DefaultParagraphFont"/>
    <w:uiPriority w:val="20"/>
    <w:qFormat/>
    <w:rsid w:val="001932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228146">
      <w:bodyDiv w:val="1"/>
      <w:marLeft w:val="0"/>
      <w:marRight w:val="0"/>
      <w:marTop w:val="0"/>
      <w:marBottom w:val="0"/>
      <w:divBdr>
        <w:top w:val="none" w:sz="0" w:space="0" w:color="auto"/>
        <w:left w:val="none" w:sz="0" w:space="0" w:color="auto"/>
        <w:bottom w:val="none" w:sz="0" w:space="0" w:color="auto"/>
        <w:right w:val="none" w:sz="0" w:space="0" w:color="auto"/>
      </w:divBdr>
    </w:div>
    <w:div w:id="180619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883B98-B8AE-4AD8-B27A-BD098C0E2C6E}"/>
</file>

<file path=customXml/itemProps2.xml><?xml version="1.0" encoding="utf-8"?>
<ds:datastoreItem xmlns:ds="http://schemas.openxmlformats.org/officeDocument/2006/customXml" ds:itemID="{E3C5D249-B182-412B-B5DA-6DC6C5AB196E}"/>
</file>

<file path=customXml/itemProps3.xml><?xml version="1.0" encoding="utf-8"?>
<ds:datastoreItem xmlns:ds="http://schemas.openxmlformats.org/officeDocument/2006/customXml" ds:itemID="{59AA5A7A-661E-4B80-9924-7A896983D840}"/>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2020-07-17T12:57:00Z</dcterms:created>
  <dcterms:modified xsi:type="dcterms:W3CDTF">2020-07-17T12:57:00Z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